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Service</w:t>
      </w:r>
      <w:r>
        <w:t xml:space="preserve"> </w:t>
      </w:r>
      <w:r>
        <w:t xml:space="preserve">Invoice</w:t>
      </w:r>
      <w:r>
        <w:t xml:space="preserve"> </w:t>
      </w:r>
      <w:r>
        <w:t xml:space="preserve">-</w:t>
      </w:r>
      <w:r>
        <w:t xml:space="preserve"> </w:t>
      </w:r>
      <w:r>
        <w:t xml:space="preserve">Manila,</w:t>
      </w:r>
      <w:r>
        <w:t xml:space="preserve"> </w:t>
      </w:r>
      <w:r>
        <w:t xml:space="preserve">Philippines</w:t>
      </w:r>
    </w:p>
    <w:bookmarkStart w:id="20" w:name="manila-premier-pharmacy-consulting"/>
    <w:p>
      <w:pPr>
        <w:pStyle w:val="Heading1"/>
      </w:pPr>
      <w:r>
        <w:t xml:space="preserve">Manila Premier Pharmacy &amp; Consulting</w:t>
      </w:r>
    </w:p>
    <w:p>
      <w:pPr>
        <w:pStyle w:val="FirstParagraph"/>
      </w:pPr>
      <w:r>
        <w:rPr>
          <w:bCs/>
          <w:b/>
        </w:rPr>
        <w:t xml:space="preserve">License No:</w:t>
      </w:r>
      <w:r>
        <w:t xml:space="preserve"> </w:t>
      </w:r>
      <w:r>
        <w:t xml:space="preserve">PRC-2023-88421</w:t>
      </w:r>
    </w:p>
    <w:p>
      <w:pPr>
        <w:pStyle w:val="BodyText"/>
      </w:pPr>
      <w:r>
        <w:t xml:space="preserve">Unit 402, Medical Arts Center, 123 Roxas Boulevard</w:t>
      </w:r>
    </w:p>
    <w:p>
      <w:pPr>
        <w:pStyle w:val="BodyText"/>
      </w:pPr>
      <w:r>
        <w:t xml:space="preserve">Ermita, Manila, Philippines 1000</w:t>
      </w:r>
    </w:p>
    <w:p>
      <w:pPr>
        <w:pStyle w:val="BodyText"/>
      </w:pPr>
      <w:r>
        <w:t xml:space="preserve">Tel: +63 (2) 8555-0199 | Email: billing@manilapremierpharma.ph</w:t>
      </w:r>
    </w:p>
    <w:p>
      <w:pPr>
        <w:pStyle w:val="BodyText"/>
      </w:pPr>
      <w:r>
        <w:t xml:space="preserve">TIN: 123-456-789-000</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St. Luke's Medical Center - Corporate Procurement</w:t>
      </w:r>
    </w:p>
    <w:p>
      <w:pPr>
        <w:pStyle w:val="BodyText"/>
      </w:pPr>
      <w:r>
        <w:t xml:space="preserve">Attn: Dr. Maria Santos, Head of Pharmacy</w:t>
      </w:r>
    </w:p>
    <w:p>
      <w:pPr>
        <w:pStyle w:val="BodyText"/>
      </w:pPr>
      <w:r>
        <w:t xml:space="preserve">280 Gil Puyat Avenue, Makati City</w:t>
      </w:r>
    </w:p>
    <w:p>
      <w:pPr>
        <w:pStyle w:val="BodyText"/>
      </w:pPr>
      <w:r>
        <w:t xml:space="preserve">(Service Location: Manila Branch)</w:t>
      </w:r>
    </w:p>
    <w:p>
      <w:pPr>
        <w:pStyle w:val="BodyText"/>
      </w:pPr>
      <w:r>
        <w:t xml:space="preserve">Philippines</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INV-MNL-2023-10-042</w:t>
      </w:r>
    </w:p>
    <w:p>
      <w:pPr>
        <w:pStyle w:val="BodyText"/>
      </w:pPr>
      <w:r>
        <w:rPr>
          <w:bCs/>
          <w:b/>
        </w:rPr>
        <w:t xml:space="preserve">Service Period:</w:t>
      </w:r>
      <w:r>
        <w:t xml:space="preserve"> </w:t>
      </w:r>
      <w:r>
        <w:t xml:space="preserve">October 1 - October 31, 2023</w:t>
      </w:r>
    </w:p>
    <w:p>
      <w:pPr>
        <w:pStyle w:val="BodyText"/>
      </w:pPr>
      <w:r>
        <w:rPr>
          <w:bCs/>
          <w:b/>
        </w:rPr>
        <w:t xml:space="preserve">Payment Terms:</w:t>
      </w:r>
      <w:r>
        <w:t xml:space="preserve"> </w:t>
      </w:r>
      <w:r>
        <w:t xml:space="preserve">Net 30 Days</w:t>
      </w:r>
    </w:p>
    <w:p>
      <w:pPr>
        <w:pStyle w:val="BodyText"/>
      </w:pPr>
      <w:r>
        <w:rPr>
          <w:bCs/>
          <w:b/>
        </w:rPr>
        <w:t xml:space="preserve">Bank:</w:t>
      </w:r>
      <w:r>
        <w:t xml:space="preserve"> </w:t>
      </w:r>
      <w:r>
        <w:t xml:space="preserve">BDO Unibank</w:t>
      </w:r>
    </w:p>
    <w:p>
      <w:pPr>
        <w:pStyle w:val="BodyText"/>
      </w:pPr>
      <w:r>
        <w:rPr>
          <w:bCs/>
          <w:b/>
        </w:rPr>
        <w:t xml:space="preserve">Account No:</w:t>
      </w:r>
      <w:r>
        <w:t xml:space="preserve"> </w:t>
      </w:r>
      <w:r>
        <w:t xml:space="preserve">1234-5678-9012</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Professional Pharmacist Services</w:t>
            </w:r>
          </w:p>
        </w:tc>
        <w:tc>
          <w:tcPr/>
          <w:p>
            <w:pPr>
              <w:pStyle w:val="Compact"/>
              <w:jc w:val="left"/>
            </w:pPr>
            <w:r>
              <w:t xml:space="preserve">Hours/Qty</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rPr>
                <w:bCs/>
                <w:b/>
              </w:rPr>
              <w:t xml:space="preserve">Clinical Pharmacy Consultation &amp; Drug Utilization Review</w:t>
            </w:r>
            <w:r>
              <w:br/>
            </w:r>
            <w:r>
              <w:t xml:space="preserve">Comprehensive review of medication profiles for in-patients at the Manila facility. This service ensures adherence to the Philippine National Drug Formulary and optimizes therapeutic outcomes.</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rPr>
                <w:bCs/>
                <w:b/>
              </w:rPr>
              <w:t xml:space="preserve">Inventory Management &amp; Supply Chain Optimization</w:t>
            </w:r>
            <w:r>
              <w:br/>
            </w:r>
            <w:r>
              <w:t xml:space="preserve">Auditing pharmaceutical stock levels, managing expiration dates, and coordinating with suppliers within Metro Manila to prevent stockouts of essential medicines.</w:t>
            </w:r>
          </w:p>
        </w:tc>
        <w:tc>
          <w:tcPr/>
          <w:p>
            <w:pPr>
              <w:pStyle w:val="Compact"/>
              <w:jc w:val="left"/>
            </w:pPr>
            <w:r>
              <w:t xml:space="preserve">20</w:t>
            </w:r>
          </w:p>
        </w:tc>
        <w:tc>
          <w:tcPr/>
          <w:p>
            <w:pPr>
              <w:pStyle w:val="Compact"/>
              <w:jc w:val="left"/>
            </w:pPr>
            <w:r>
              <w:t xml:space="preserve">2,000.00</w:t>
            </w:r>
          </w:p>
        </w:tc>
        <w:tc>
          <w:tcPr/>
          <w:p>
            <w:pPr>
              <w:pStyle w:val="Compact"/>
              <w:jc w:val="left"/>
            </w:pPr>
            <w:r>
              <w:t xml:space="preserve">40,000.00</w:t>
            </w:r>
          </w:p>
        </w:tc>
      </w:tr>
      <w:tr>
        <w:tc>
          <w:tcPr/>
          <w:p>
            <w:pPr>
              <w:pStyle w:val="Compact"/>
              <w:jc w:val="left"/>
            </w:pPr>
            <w:r>
              <w:t xml:space="preserve">3</w:t>
            </w:r>
          </w:p>
        </w:tc>
        <w:tc>
          <w:tcPr/>
          <w:p>
            <w:pPr>
              <w:pStyle w:val="Compact"/>
              <w:jc w:val="left"/>
            </w:pPr>
            <w:r>
              <w:rPr>
                <w:bCs/>
                <w:b/>
              </w:rPr>
              <w:t xml:space="preserve">Regulatory Compliance &amp; PRC Standards Audit</w:t>
            </w:r>
            <w:r>
              <w:br/>
            </w:r>
            <w:r>
              <w:t xml:space="preserve">Ensuring all pharmacy operations comply with the Food and Drug Administration (FDA) Philippines regulations and Professional Regulation Commission (PRC) standards for pharmacy practice.</w:t>
            </w:r>
          </w:p>
        </w:tc>
        <w:tc>
          <w:tcPr/>
          <w:p>
            <w:pPr>
              <w:pStyle w:val="Compact"/>
              <w:jc w:val="left"/>
            </w:pPr>
            <w:r>
              <w:t xml:space="preserve">15</w:t>
            </w:r>
          </w:p>
        </w:tc>
        <w:tc>
          <w:tcPr/>
          <w:p>
            <w:pPr>
              <w:pStyle w:val="Compact"/>
              <w:jc w:val="left"/>
            </w:pPr>
            <w:r>
              <w:t xml:space="preserve">3,000.00</w:t>
            </w:r>
          </w:p>
        </w:tc>
        <w:tc>
          <w:tcPr/>
          <w:p>
            <w:pPr>
              <w:pStyle w:val="Compact"/>
              <w:jc w:val="left"/>
            </w:pPr>
            <w:r>
              <w:t xml:space="preserve">45,000.00</w:t>
            </w:r>
          </w:p>
        </w:tc>
      </w:tr>
      <w:tr>
        <w:tc>
          <w:tcPr/>
          <w:p>
            <w:pPr>
              <w:pStyle w:val="Compact"/>
              <w:jc w:val="left"/>
            </w:pPr>
            <w:r>
              <w:t xml:space="preserve">4</w:t>
            </w:r>
          </w:p>
        </w:tc>
        <w:tc>
          <w:tcPr/>
          <w:p>
            <w:pPr>
              <w:pStyle w:val="Compact"/>
              <w:jc w:val="left"/>
            </w:pPr>
            <w:r>
              <w:rPr>
                <w:bCs/>
                <w:b/>
              </w:rPr>
              <w:t xml:space="preserve">Staff Training: Pharmacovigilance &amp; Patient Counseling</w:t>
            </w:r>
            <w:r>
              <w:br/>
            </w:r>
            <w:r>
              <w:t xml:space="preserve">Conducting workshops for junior pharmacists and pharmacy technicians on adverse drug reaction reporting and effective patient communication in a multicultural Manila setting.</w:t>
            </w:r>
          </w:p>
        </w:tc>
        <w:tc>
          <w:tcPr/>
          <w:p>
            <w:pPr>
              <w:pStyle w:val="Compact"/>
              <w:jc w:val="left"/>
            </w:pPr>
            <w:r>
              <w:t xml:space="preserve">10</w:t>
            </w:r>
          </w:p>
        </w:tc>
        <w:tc>
          <w:tcPr/>
          <w:p>
            <w:pPr>
              <w:pStyle w:val="Compact"/>
              <w:jc w:val="left"/>
            </w:pPr>
            <w:r>
              <w:t xml:space="preserve">2,500.00</w:t>
            </w:r>
          </w:p>
        </w:tc>
        <w:tc>
          <w:tcPr/>
          <w:p>
            <w:pPr>
              <w:pStyle w:val="Compact"/>
              <w:jc w:val="left"/>
            </w:pPr>
            <w:r>
              <w:t xml:space="preserve">25,000.00</w:t>
            </w:r>
          </w:p>
        </w:tc>
      </w:tr>
    </w:tbl>
    <w:p>
      <w:pPr>
        <w:pStyle w:val="BodyText"/>
      </w:pPr>
      <w:r>
        <w:t xml:space="preserve">Subtotal:</w:t>
      </w:r>
      <w:r>
        <w:t xml:space="preserve"> </w:t>
      </w:r>
      <w:r>
        <w:t xml:space="preserve">210,000.00 PHP</w:t>
      </w:r>
    </w:p>
    <w:p>
      <w:pPr>
        <w:pStyle w:val="BodyText"/>
      </w:pPr>
      <w:r>
        <w:t xml:space="preserve">VAT (12%):</w:t>
      </w:r>
      <w:r>
        <w:t xml:space="preserve"> </w:t>
      </w:r>
      <w:r>
        <w:t xml:space="preserve">25,200.00 PHP</w:t>
      </w:r>
    </w:p>
    <w:p>
      <w:pPr>
        <w:pStyle w:val="BodyText"/>
      </w:pPr>
      <w:r>
        <w:t xml:space="preserve">Withholding Tax (2%):</w:t>
      </w:r>
      <w:r>
        <w:t xml:space="preserve"> </w:t>
      </w:r>
      <w:r>
        <w:t xml:space="preserve">-4,200.00 PHP</w:t>
      </w:r>
    </w:p>
    <w:p>
      <w:pPr>
        <w:pStyle w:val="BodyText"/>
      </w:pPr>
      <w:r>
        <w:t xml:space="preserve">TOTAL DUE:</w:t>
      </w:r>
      <w:r>
        <w:t xml:space="preserve"> </w:t>
      </w:r>
      <w:r>
        <w:t xml:space="preserve">231,000.00 PHP</w:t>
      </w:r>
    </w:p>
    <w:bookmarkStart w:id="24" w:name="terms-conditions-and-professional-notes"/>
    <w:p>
      <w:pPr>
        <w:pStyle w:val="Heading4"/>
      </w:pPr>
      <w:r>
        <w:t xml:space="preserve">Terms, Conditions, and Professional Notes:</w:t>
      </w:r>
    </w:p>
    <w:p>
      <w:pPr>
        <w:pStyle w:val="FirstParagraph"/>
      </w:pPr>
      <w:r>
        <w:t xml:space="preserve">This invoice represents professional services rendered by a licensed Pharmacist in accordance with the Pharmacy Law of the Philippines. All calculations are subject to the prevailing tax rates in Manila. Payment is expected within 30 days of the invoice date. Late payments may incur a penalty of 1.5% per month.</w:t>
      </w:r>
    </w:p>
    <w:p>
      <w:pPr>
        <w:pStyle w:val="BodyText"/>
      </w:pPr>
      <w:r>
        <w:rPr>
          <w:bCs/>
          <w:b/>
        </w:rPr>
        <w:t xml:space="preserve">Scope of Work Clarification:</w:t>
      </w:r>
      <w:r>
        <w:t xml:space="preserve"> </w:t>
      </w:r>
      <w:r>
        <w:t xml:space="preserve">The services detailed above include clinical oversight, inventory auditing, and regulatory compliance checks specific to the Manila healthcare environment. This invoice does not cover the cost of physical pharmaceutical products (drugs/supplies) unless explicitly stated in a separate purchase order.</w:t>
      </w:r>
    </w:p>
    <w:p>
      <w:pPr>
        <w:pStyle w:val="BodyText"/>
      </w:pPr>
      <w:r>
        <w:rPr>
          <w:bCs/>
          <w:b/>
        </w:rPr>
        <w:t xml:space="preserve">Regulatory Compliance:</w:t>
      </w:r>
      <w:r>
        <w:t xml:space="preserve"> </w:t>
      </w:r>
      <w:r>
        <w:t xml:space="preserve">As per the requirements of the Professional Regulation Commission (PRC), all clinical decisions and inventory audits were conducted by a Pharmacist holding a valid Certificate of Registration and Professional Identification Card.</w:t>
      </w:r>
    </w:p>
    <w:p>
      <w:pPr>
        <w:pStyle w:val="BodyText"/>
      </w:pPr>
      <w:r>
        <w:rPr>
          <w:bCs/>
          <w:b/>
        </w:rPr>
        <w:t xml:space="preserve">Payment Instructions:</w:t>
      </w:r>
      <w:r>
        <w:t xml:space="preserve"> </w:t>
      </w:r>
      <w:r>
        <w:t xml:space="preserve">Please make checks payable to "Manila Premier Pharmacy &amp; Consulting" or transfer via BDO Unibank. Kindly reference the Invoice Number (INV-MNL-2023-10-042) in your payment remittance advice.</w:t>
      </w:r>
    </w:p>
    <w:p>
      <w:pPr>
        <w:pStyle w:val="BodyText"/>
      </w:pPr>
      <w:r>
        <w:t xml:space="preserve">Thank you for your business and for trusting our professional pharmacist services to maintain the highest standards of pharmaceutical care in the Philippines.</w:t>
      </w:r>
    </w:p>
    <w:bookmarkEnd w:id="24"/>
    <w:p>
      <w:pPr>
        <w:pStyle w:val="BodyText"/>
      </w:pPr>
      <w:r>
        <w:rPr>
          <w:bCs/>
          <w:b/>
        </w:rPr>
        <w:t xml:space="preserve">Authorized by:</w:t>
      </w:r>
    </w:p>
    <w:p>
      <w:pPr>
        <w:pStyle w:val="BodyText"/>
      </w:pPr>
      <w:r>
        <w:t xml:space="preserve">Dr. Juan Dela Cruz, RPh</w:t>
      </w:r>
    </w:p>
    <w:p>
      <w:pPr>
        <w:pStyle w:val="BodyText"/>
      </w:pPr>
      <w:r>
        <w:t xml:space="preserve">Chief Pharmacist</w:t>
      </w:r>
    </w:p>
    <w:p>
      <w:pPr>
        <w:pStyle w:val="BodyText"/>
      </w:pPr>
      <w:r>
        <w:t xml:space="preserve">PRC ID: 1234567</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Manila Premier Pharmacy &amp; Consulting | Registered in Manila, Philippines</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Service Invoice - Manila, Philippines</dc:title>
  <dc:creator/>
  <dc:language>en</dc:language>
  <cp:keywords/>
  <dcterms:created xsi:type="dcterms:W3CDTF">2026-10-10T02:45:58Z</dcterms:created>
  <dcterms:modified xsi:type="dcterms:W3CDTF">2026-10-10T02:45:58Z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