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Valencia,</w:t>
      </w:r>
      <w:r>
        <w:t xml:space="preserve"> </w:t>
      </w:r>
      <w:r>
        <w:t xml:space="preserve">Spain</w:t>
      </w:r>
    </w:p>
    <w:bookmarkStart w:id="20" w:name="farmacia-central-valencia"/>
    <w:p>
      <w:pPr>
        <w:pStyle w:val="Heading1"/>
      </w:pPr>
      <w:r>
        <w:t xml:space="preserve">Farmacia Central Valencia</w:t>
      </w:r>
    </w:p>
    <w:p>
      <w:pPr>
        <w:pStyle w:val="FirstParagraph"/>
      </w:pPr>
      <w:r>
        <w:t xml:space="preserve">C/ Colón, 45, 46004 Valencia, Spain</w:t>
      </w:r>
    </w:p>
    <w:p>
      <w:pPr>
        <w:pStyle w:val="BodyText"/>
      </w:pPr>
      <w:r>
        <w:t xml:space="preserve">NIF: B-12345678</w:t>
      </w:r>
    </w:p>
    <w:p>
      <w:pPr>
        <w:pStyle w:val="BodyText"/>
      </w:pPr>
      <w:r>
        <w:t xml:space="preserve">Phone: +34 960 123 456</w:t>
      </w:r>
    </w:p>
    <w:p>
      <w:pPr>
        <w:pStyle w:val="BodyText"/>
      </w:pPr>
      <w:r>
        <w:t xml:space="preserve">Email: info@farmaciacentralvalencia.es</w:t>
      </w:r>
    </w:p>
    <w:p>
      <w:pPr>
        <w:pStyle w:val="BodyText"/>
      </w:pPr>
      <w:r>
        <w:t xml:space="preserve">Pharmacist License: V-12345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INV-2024-00123</w:t>
      </w:r>
    </w:p>
    <w:p>
      <w:pPr>
        <w:pStyle w:val="BodyText"/>
      </w:pPr>
      <w:r>
        <w:rPr>
          <w:bCs/>
          <w:b/>
        </w:rPr>
        <w:t xml:space="preserve">Date:</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Currency:</w:t>
      </w:r>
      <w:r>
        <w:t xml:space="preserve"> </w:t>
      </w:r>
      <w:r>
        <w:t xml:space="preserve">EUR (€)</w:t>
      </w:r>
    </w:p>
    <w:bookmarkEnd w:id="21"/>
    <w:bookmarkStart w:id="22" w:name="billed-to"/>
    <w:p>
      <w:pPr>
        <w:pStyle w:val="Heading3"/>
      </w:pPr>
      <w:r>
        <w:t xml:space="preserve">Billed To:</w:t>
      </w:r>
    </w:p>
    <w:p>
      <w:pPr>
        <w:pStyle w:val="FirstParagraph"/>
      </w:pPr>
      <w:r>
        <w:rPr>
          <w:bCs/>
          <w:b/>
        </w:rPr>
        <w:t xml:space="preserve">Healthcare Services Valencia S.L.</w:t>
      </w:r>
    </w:p>
    <w:p>
      <w:pPr>
        <w:pStyle w:val="BodyText"/>
      </w:pPr>
      <w:r>
        <w:t xml:space="preserve">C/ Russafa, 78, 46006 Valencia, Spain</w:t>
      </w:r>
    </w:p>
    <w:p>
      <w:pPr>
        <w:pStyle w:val="BodyText"/>
      </w:pPr>
      <w:r>
        <w:t xml:space="preserve">NIF: B-87654321</w:t>
      </w:r>
    </w:p>
    <w:p>
      <w:pPr>
        <w:pStyle w:val="BodyText"/>
      </w:pPr>
      <w:r>
        <w:t xml:space="preserve">Contact: Maria Garcia</w:t>
      </w:r>
    </w:p>
    <w:p>
      <w:pPr>
        <w:pStyle w:val="BodyText"/>
      </w:pPr>
      <w:r>
        <w:t xml:space="preserve">Email: billing@healthcarevalencia.es</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Discount (%)</w:t>
            </w:r>
          </w:p>
        </w:tc>
        <w:tc>
          <w:tcPr/>
          <w:p>
            <w:pPr>
              <w:pStyle w:val="Compact"/>
              <w:jc w:val="left"/>
            </w:pPr>
            <w:r>
              <w:t xml:space="preserve">Total (€)</w:t>
            </w:r>
          </w:p>
        </w:tc>
      </w:tr>
      <w:tr>
        <w:tc>
          <w:tcPr/>
          <w:p>
            <w:pPr>
              <w:pStyle w:val="Compact"/>
              <w:jc w:val="left"/>
            </w:pPr>
            <w:r>
              <w:t xml:space="preserve">Professional Pharmacist Consultation Services - October 2024</w:t>
            </w:r>
          </w:p>
        </w:tc>
        <w:tc>
          <w:tcPr/>
          <w:p>
            <w:pPr>
              <w:pStyle w:val="Compact"/>
              <w:jc w:val="left"/>
            </w:pPr>
            <w:r>
              <w:t xml:space="preserve">40</w:t>
            </w:r>
          </w:p>
        </w:tc>
        <w:tc>
          <w:tcPr/>
          <w:p>
            <w:pPr>
              <w:pStyle w:val="Compact"/>
              <w:jc w:val="left"/>
            </w:pPr>
            <w:r>
              <w:t xml:space="preserve">25.00</w:t>
            </w:r>
          </w:p>
        </w:tc>
        <w:tc>
          <w:tcPr/>
          <w:p>
            <w:pPr>
              <w:pStyle w:val="Compact"/>
              <w:jc w:val="left"/>
            </w:pPr>
            <w:r>
              <w:t xml:space="preserve">0</w:t>
            </w:r>
          </w:p>
        </w:tc>
        <w:tc>
          <w:tcPr/>
          <w:p>
            <w:pPr>
              <w:pStyle w:val="Compact"/>
              <w:jc w:val="left"/>
            </w:pPr>
            <w:r>
              <w:t xml:space="preserve">1,000.00</w:t>
            </w:r>
          </w:p>
        </w:tc>
      </w:tr>
      <w:tr>
        <w:tc>
          <w:tcPr/>
          <w:p>
            <w:pPr>
              <w:pStyle w:val="Compact"/>
              <w:jc w:val="left"/>
            </w:pPr>
            <w:r>
              <w:t xml:space="preserve">Medication Dispensing and Verification Services</w:t>
            </w:r>
          </w:p>
        </w:tc>
        <w:tc>
          <w:tcPr/>
          <w:p>
            <w:pPr>
              <w:pStyle w:val="Compact"/>
              <w:jc w:val="left"/>
            </w:pPr>
            <w:r>
              <w:t xml:space="preserve">150</w:t>
            </w:r>
          </w:p>
        </w:tc>
        <w:tc>
          <w:tcPr/>
          <w:p>
            <w:pPr>
              <w:pStyle w:val="Compact"/>
              <w:jc w:val="left"/>
            </w:pPr>
            <w:r>
              <w:t xml:space="preserve">3.50</w:t>
            </w:r>
          </w:p>
        </w:tc>
        <w:tc>
          <w:tcPr/>
          <w:p>
            <w:pPr>
              <w:pStyle w:val="Compact"/>
              <w:jc w:val="left"/>
            </w:pPr>
            <w:r>
              <w:t xml:space="preserve">5</w:t>
            </w:r>
          </w:p>
        </w:tc>
        <w:tc>
          <w:tcPr/>
          <w:p>
            <w:pPr>
              <w:pStyle w:val="Compact"/>
              <w:jc w:val="left"/>
            </w:pPr>
            <w:r>
              <w:t xml:space="preserve">498.75</w:t>
            </w:r>
          </w:p>
        </w:tc>
      </w:tr>
      <w:tr>
        <w:tc>
          <w:tcPr/>
          <w:p>
            <w:pPr>
              <w:pStyle w:val="Compact"/>
              <w:jc w:val="left"/>
            </w:pPr>
            <w:r>
              <w:t xml:space="preserve">Pharmaceutical Inventory Management and Compliance Audit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0</w:t>
            </w:r>
          </w:p>
        </w:tc>
        <w:tc>
          <w:tcPr/>
          <w:p>
            <w:pPr>
              <w:pStyle w:val="Compact"/>
              <w:jc w:val="left"/>
            </w:pPr>
            <w:r>
              <w:t xml:space="preserve">350.00</w:t>
            </w:r>
          </w:p>
        </w:tc>
      </w:tr>
      <w:tr>
        <w:tc>
          <w:tcPr/>
          <w:p>
            <w:pPr>
              <w:pStyle w:val="Compact"/>
              <w:jc w:val="left"/>
            </w:pPr>
            <w:r>
              <w:t xml:space="preserve">Patient Counseling and Drug Interaction Analysis</w:t>
            </w:r>
          </w:p>
        </w:tc>
        <w:tc>
          <w:tcPr/>
          <w:p>
            <w:pPr>
              <w:pStyle w:val="Compact"/>
              <w:jc w:val="left"/>
            </w:pPr>
            <w:r>
              <w:t xml:space="preserve">25</w:t>
            </w:r>
          </w:p>
        </w:tc>
        <w:tc>
          <w:tcPr/>
          <w:p>
            <w:pPr>
              <w:pStyle w:val="Compact"/>
              <w:jc w:val="left"/>
            </w:pPr>
            <w:r>
              <w:t xml:space="preserve">15.00</w:t>
            </w:r>
          </w:p>
        </w:tc>
        <w:tc>
          <w:tcPr/>
          <w:p>
            <w:pPr>
              <w:pStyle w:val="Compact"/>
              <w:jc w:val="left"/>
            </w:pPr>
            <w:r>
              <w:t xml:space="preserve">0</w:t>
            </w:r>
          </w:p>
        </w:tc>
        <w:tc>
          <w:tcPr/>
          <w:p>
            <w:pPr>
              <w:pStyle w:val="Compact"/>
              <w:jc w:val="left"/>
            </w:pPr>
            <w:r>
              <w:t xml:space="preserve">375.00</w:t>
            </w:r>
          </w:p>
        </w:tc>
      </w:tr>
      <w:tr>
        <w:tc>
          <w:tcPr/>
          <w:p>
            <w:pPr>
              <w:pStyle w:val="Compact"/>
              <w:jc w:val="left"/>
            </w:pPr>
            <w:r>
              <w:t xml:space="preserve">Specialized Compounding Services for Custom Medications</w:t>
            </w:r>
          </w:p>
        </w:tc>
        <w:tc>
          <w:tcPr/>
          <w:p>
            <w:pPr>
              <w:pStyle w:val="Compact"/>
              <w:jc w:val="left"/>
            </w:pPr>
            <w:r>
              <w:t xml:space="preserve">10</w:t>
            </w:r>
          </w:p>
        </w:tc>
        <w:tc>
          <w:tcPr/>
          <w:p>
            <w:pPr>
              <w:pStyle w:val="Compact"/>
              <w:jc w:val="left"/>
            </w:pPr>
            <w:r>
              <w:t xml:space="preserve">45.00</w:t>
            </w:r>
          </w:p>
        </w:tc>
        <w:tc>
          <w:tcPr/>
          <w:p>
            <w:pPr>
              <w:pStyle w:val="Compact"/>
              <w:jc w:val="left"/>
            </w:pPr>
            <w:r>
              <w:t xml:space="preserve">0</w:t>
            </w:r>
          </w:p>
        </w:tc>
        <w:tc>
          <w:tcPr/>
          <w:p>
            <w:pPr>
              <w:pStyle w:val="Compact"/>
              <w:jc w:val="left"/>
            </w:pPr>
            <w:r>
              <w:t xml:space="preserve">450.00</w:t>
            </w:r>
          </w:p>
        </w:tc>
      </w:tr>
      <w:tr>
        <w:tc>
          <w:tcPr/>
          <w:p>
            <w:pPr>
              <w:pStyle w:val="Compact"/>
              <w:jc w:val="left"/>
            </w:pPr>
            <w:r>
              <w:t xml:space="preserve">Regulatory Compliance Documentation for Valencia Health Authority</w:t>
            </w:r>
          </w:p>
        </w:tc>
        <w:tc>
          <w:tcPr/>
          <w:p>
            <w:pPr>
              <w:pStyle w:val="Compact"/>
              <w:jc w:val="left"/>
            </w:pPr>
            <w:r>
              <w:t xml:space="preserve">1</w:t>
            </w:r>
          </w:p>
        </w:tc>
        <w:tc>
          <w:tcPr/>
          <w:p>
            <w:pPr>
              <w:pStyle w:val="Compact"/>
              <w:jc w:val="left"/>
            </w:pPr>
            <w:r>
              <w:t xml:space="preserve">200.00</w:t>
            </w:r>
          </w:p>
        </w:tc>
        <w:tc>
          <w:tcPr/>
          <w:p>
            <w:pPr>
              <w:pStyle w:val="Compact"/>
              <w:jc w:val="left"/>
            </w:pPr>
            <w:r>
              <w:t xml:space="preserve">0</w:t>
            </w:r>
          </w:p>
        </w:tc>
        <w:tc>
          <w:tcPr/>
          <w:p>
            <w:pPr>
              <w:pStyle w:val="Compact"/>
              <w:jc w:val="left"/>
            </w:pPr>
            <w:r>
              <w:t xml:space="preserve">200.00</w:t>
            </w:r>
          </w:p>
        </w:tc>
      </w:tr>
      <w:tr>
        <w:tc>
          <w:tcPr/>
          <w:p>
            <w:pPr>
              <w:pStyle w:val="Compact"/>
              <w:jc w:val="left"/>
            </w:pPr>
            <w:r>
              <w:t xml:space="preserve">Emergency Pharmacy Coverage Services (Weekend Hours)</w:t>
            </w:r>
          </w:p>
        </w:tc>
        <w:tc>
          <w:tcPr/>
          <w:p>
            <w:pPr>
              <w:pStyle w:val="Compact"/>
              <w:jc w:val="left"/>
            </w:pPr>
            <w:r>
              <w:t xml:space="preserve">8</w:t>
            </w:r>
          </w:p>
        </w:tc>
        <w:tc>
          <w:tcPr/>
          <w:p>
            <w:pPr>
              <w:pStyle w:val="Compact"/>
              <w:jc w:val="left"/>
            </w:pPr>
            <w:r>
              <w:t xml:space="preserve">60.00</w:t>
            </w:r>
          </w:p>
        </w:tc>
        <w:tc>
          <w:tcPr/>
          <w:p>
            <w:pPr>
              <w:pStyle w:val="Compact"/>
              <w:jc w:val="left"/>
            </w:pPr>
            <w:r>
              <w:t xml:space="preserve">0</w:t>
            </w:r>
          </w:p>
        </w:tc>
        <w:tc>
          <w:tcPr/>
          <w:p>
            <w:pPr>
              <w:pStyle w:val="Compact"/>
              <w:jc w:val="left"/>
            </w:pPr>
            <w:r>
              <w:t xml:space="preserve">480.00</w:t>
            </w:r>
          </w:p>
        </w:tc>
      </w:tr>
      <w:tr>
        <w:tc>
          <w:tcPr/>
          <w:p>
            <w:pPr>
              <w:pStyle w:val="Compact"/>
              <w:jc w:val="left"/>
            </w:pPr>
            <w:r>
              <w:t xml:space="preserve">Pharmaceutical Waste Disposal and Environmental Compliance</w:t>
            </w:r>
          </w:p>
        </w:tc>
        <w:tc>
          <w:tcPr/>
          <w:p>
            <w:pPr>
              <w:pStyle w:val="Compact"/>
              <w:jc w:val="left"/>
            </w:pPr>
            <w:r>
              <w:t xml:space="preserve">1</w:t>
            </w:r>
          </w:p>
        </w:tc>
        <w:tc>
          <w:tcPr/>
          <w:p>
            <w:pPr>
              <w:pStyle w:val="Compact"/>
              <w:jc w:val="left"/>
            </w:pPr>
            <w:r>
              <w:t xml:space="preserve">150.00</w:t>
            </w:r>
          </w:p>
        </w:tc>
        <w:tc>
          <w:tcPr/>
          <w:p>
            <w:pPr>
              <w:pStyle w:val="Compact"/>
              <w:jc w:val="left"/>
            </w:pPr>
            <w:r>
              <w:t xml:space="preserve">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€3,503.75</w:t>
            </w:r>
          </w:p>
        </w:tc>
      </w:tr>
      <w:tr>
        <w:tc>
          <w:tcPr/>
          <w:p>
            <w:pPr>
              <w:pStyle w:val="Compact"/>
              <w:jc w:val="left"/>
            </w:pPr>
            <w:r>
              <w:t xml:space="preserve">VAT (21%):</w:t>
            </w:r>
          </w:p>
        </w:tc>
        <w:tc>
          <w:tcPr/>
          <w:p>
            <w:pPr>
              <w:pStyle w:val="Compact"/>
              <w:jc w:val="left"/>
            </w:pPr>
            <w:r>
              <w:t xml:space="preserve">€735.79</w:t>
            </w:r>
          </w:p>
        </w:tc>
      </w:tr>
      <w:tr>
        <w:tc>
          <w:tcPr/>
          <w:p>
            <w:pPr>
              <w:pStyle w:val="Compact"/>
              <w:jc w:val="left"/>
            </w:pPr>
            <w:r>
              <w:rPr>
                <w:bCs/>
                <w:b/>
              </w:rPr>
              <w:t xml:space="preserve">Total Amount Due:</w:t>
            </w:r>
          </w:p>
        </w:tc>
        <w:tc>
          <w:tcPr/>
          <w:p>
            <w:pPr>
              <w:pStyle w:val="Compact"/>
              <w:jc w:val="left"/>
            </w:pPr>
            <w:r>
              <w:rPr>
                <w:bCs/>
                <w:b/>
              </w:rPr>
              <w:t xml:space="preserve">€4,239.54</w:t>
            </w:r>
          </w:p>
        </w:tc>
      </w:tr>
    </w:tbl>
    <w:bookmarkStart w:id="23" w:name="payment-terms-and-conditions"/>
    <w:p>
      <w:pPr>
        <w:pStyle w:val="Heading4"/>
      </w:pPr>
      <w:r>
        <w:t xml:space="preserve">Payment Terms and Conditions:</w:t>
      </w:r>
    </w:p>
    <w:p>
      <w:pPr>
        <w:pStyle w:val="FirstParagraph"/>
      </w:pPr>
      <w:r>
        <w:t xml:space="preserve">Payment is due within 30 days from the invoice date. Please include the invoice number as a reference when making payment. Late payments may incur a 1.5% monthly interest charge as per Spanish commercial law.</w:t>
      </w:r>
    </w:p>
    <w:bookmarkEnd w:id="23"/>
    <w:bookmarkStart w:id="24" w:name="bank-details"/>
    <w:p>
      <w:pPr>
        <w:pStyle w:val="Heading4"/>
      </w:pPr>
      <w:r>
        <w:t xml:space="preserve">Bank Details:</w:t>
      </w:r>
    </w:p>
    <w:p>
      <w:pPr>
        <w:pStyle w:val="FirstParagraph"/>
      </w:pPr>
      <w:r>
        <w:t xml:space="preserve">Bank: Banco Santander</w:t>
      </w:r>
    </w:p>
    <w:p>
      <w:pPr>
        <w:pStyle w:val="BodyText"/>
      </w:pPr>
      <w:r>
        <w:t xml:space="preserve">IBAN: ES12 3456 7890 1234 5678 9012</w:t>
      </w:r>
    </w:p>
    <w:p>
      <w:pPr>
        <w:pStyle w:val="BodyText"/>
      </w:pPr>
      <w:r>
        <w:t xml:space="preserve">BIC/SWIFT: BSCHESMM</w:t>
      </w:r>
    </w:p>
    <w:p>
      <w:pPr>
        <w:pStyle w:val="BodyText"/>
      </w:pPr>
      <w:r>
        <w:t xml:space="preserve">Account Holder: Farmacia Central Valencia S.L.</w:t>
      </w:r>
    </w:p>
    <w:bookmarkEnd w:id="24"/>
    <w:bookmarkStart w:id="25" w:name="professional-services-description"/>
    <w:p>
      <w:pPr>
        <w:pStyle w:val="Heading4"/>
      </w:pPr>
      <w:r>
        <w:t xml:space="preserve">Professional Services Description:</w:t>
      </w:r>
    </w:p>
    <w:p>
      <w:pPr>
        <w:pStyle w:val="FirstParagraph"/>
      </w:pPr>
      <w:r>
        <w:t xml:space="preserve">This invoice covers professional pharmacist services rendered in Valencia, Spain, in accordance with the regulations established by the Colegio Oficial de Farmacéuticos de Valencia. All services have been performed by licensed pharmacists with appropriate credentials and in compliance with Spanish pharmaceutical law (Ley 29/2006 de Garantías y Uso Racional del Medicamento y de los Productos Sanitarios).</w:t>
      </w:r>
    </w:p>
    <w:p>
      <w:pPr>
        <w:pStyle w:val="BodyText"/>
      </w:pPr>
      <w:r>
        <w:t xml:space="preserve">The services include but are not limited to: medication dispensing, patient counseling, drug interaction analysis, inventory management, regulatory compliance, specialized compounding, and emergency coverage. All pharmaceutical products and services have been provided in accordance with the highest professional standards and ethical guidelines established for pharmacists practicing in the Valencian Community.</w:t>
      </w:r>
    </w:p>
    <w:bookmarkEnd w:id="25"/>
    <w:bookmarkStart w:id="26" w:name="important-notes"/>
    <w:p>
      <w:pPr>
        <w:pStyle w:val="Heading4"/>
      </w:pPr>
      <w:r>
        <w:t xml:space="preserve">Important Notes:</w:t>
      </w:r>
    </w:p>
    <w:p>
      <w:pPr>
        <w:pStyle w:val="FirstParagraph"/>
      </w:pPr>
      <w:r>
        <w:t xml:space="preserve">This invoice is issued in accordance with Spanish tax regulations (Ley 58/2003, General Tributaria). The VAT rate of 21% applies to professional pharmaceutical services as per current Spanish tax law. Please retain this document for your accounting records and tax purposes.</w:t>
      </w:r>
    </w:p>
    <w:p>
      <w:pPr>
        <w:pStyle w:val="BodyText"/>
      </w:pPr>
      <w:r>
        <w:t xml:space="preserve">For any questions regarding this invoice or the services provided, please contact our billing department at +34 960 123 456 or email billing@farmaciacentralvalencia.es. We are committed to providing exceptional pharmaceutical care and professional services to our clients throughout Valencia and the surrounding areas.</w:t>
      </w:r>
    </w:p>
    <w:p>
      <w:pPr>
        <w:pStyle w:val="BodyText"/>
      </w:pPr>
      <w:r>
        <w:t xml:space="preserve">All pharmaceutical services have been documented and recorded in accordance with the requirements of the Spanish Agency of Medicines and Medical Devices (AEMPS) and the Valencian Health Department. Our pharmacy maintains full compliance with all applicable regulations regarding pharmaceutical practice, patient privacy, and medication safety.</w:t>
      </w:r>
    </w:p>
    <w:bookmarkEnd w:id="26"/>
    <w:p>
      <w:pPr>
        <w:pStyle w:val="BodyText"/>
      </w:pPr>
      <w:r>
        <w:t xml:space="preserve">Farmacia Central Valencia | C/ Colón, 45, 46004 Valencia, Spain | NIF: B-12345678</w:t>
      </w:r>
    </w:p>
    <w:p>
      <w:pPr>
        <w:pStyle w:val="BodyText"/>
      </w:pPr>
      <w:r>
        <w:t xml:space="preserve">Registered with the Colegio Oficial de Farmacéuticos de Valencia | License V-12345</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Pharmacist Services - Valencia, Spain</dc:title>
  <dc:creator/>
  <dc:language>en</dc:language>
  <cp:keywords/>
  <dcterms:created xsi:type="dcterms:W3CDTF">2026-10-10T03:42:51Z</dcterms:created>
  <dcterms:modified xsi:type="dcterms:W3CDTF">2026-10-10T03:42:51Z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