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Pharmacist</w:t>
      </w:r>
      <w:r>
        <w:t xml:space="preserve"> </w:t>
      </w:r>
      <w:r>
        <w:t xml:space="preserve">Service</w:t>
      </w:r>
      <w:r>
        <w:t xml:space="preserve"> </w:t>
      </w:r>
      <w:r>
        <w:t xml:space="preserve">Invoice</w:t>
      </w:r>
      <w:r>
        <w:t xml:space="preserve"> </w:t>
      </w:r>
      <w:r>
        <w:t xml:space="preserve">-</w:t>
      </w:r>
      <w:r>
        <w:t xml:space="preserve"> </w:t>
      </w:r>
      <w:r>
        <w:t xml:space="preserve">Bangkok,</w:t>
      </w:r>
      <w:r>
        <w:t xml:space="preserve"> </w:t>
      </w:r>
      <w:r>
        <w:t xml:space="preserve">Thailand</w:t>
      </w:r>
    </w:p>
    <w:bookmarkStart w:id="20" w:name="bangkok-clinical-pharmacy-services"/>
    <w:p>
      <w:pPr>
        <w:pStyle w:val="Heading1"/>
      </w:pPr>
      <w:r>
        <w:t xml:space="preserve">Bangkok Clinical Pharmacy Services</w:t>
      </w:r>
    </w:p>
    <w:p>
      <w:pPr>
        <w:pStyle w:val="FirstParagraph"/>
      </w:pPr>
      <w:r>
        <w:t xml:space="preserve">123/45 Sukhumvit Road, Khlong Toei Nuea</w:t>
      </w:r>
    </w:p>
    <w:p>
      <w:pPr>
        <w:pStyle w:val="BodyText"/>
      </w:pPr>
      <w:r>
        <w:t xml:space="preserve">Watthana District, Bangkok 10110, Thailand</w:t>
      </w:r>
    </w:p>
    <w:p>
      <w:pPr>
        <w:pStyle w:val="BodyText"/>
      </w:pPr>
      <w:r>
        <w:t xml:space="preserve">Tax ID: 0-123-45678-90-1-2345</w:t>
      </w:r>
    </w:p>
    <w:p>
      <w:pPr>
        <w:pStyle w:val="BodyText"/>
      </w:pPr>
      <w:r>
        <w:t xml:space="preserve">License No. 5678/2023 (Licensed Pharmacist)</w:t>
      </w:r>
    </w:p>
    <w:p>
      <w:pPr>
        <w:pStyle w:val="BodyText"/>
      </w:pPr>
      <w:r>
        <w:t xml:space="preserve">Email: billing@bangkokclinicalpharmacy.co.th</w:t>
      </w:r>
    </w:p>
    <w:p>
      <w:pPr>
        <w:pStyle w:val="BodyText"/>
      </w:pPr>
      <w:r>
        <w:t xml:space="preserve">Phone: +66 2 123 4567</w:t>
      </w:r>
    </w:p>
    <w:bookmarkEnd w:id="20"/>
    <w:bookmarkStart w:id="21" w:name="invoice"/>
    <w:p>
      <w:pPr>
        <w:pStyle w:val="Heading2"/>
      </w:pPr>
      <w:r>
        <w:t xml:space="preserve">INVOICE</w:t>
      </w:r>
    </w:p>
    <w:p>
      <w:pPr>
        <w:pStyle w:val="FirstParagraph"/>
      </w:pPr>
      <w:r>
        <w:t xml:space="preserve">Invoice #: INV-BKK-2023-089</w:t>
      </w:r>
    </w:p>
    <w:p>
      <w:pPr>
        <w:pStyle w:val="BodyText"/>
      </w:pPr>
      <w:r>
        <w:t xml:space="preserve">Date: October 24, 2023</w:t>
      </w:r>
    </w:p>
    <w:p>
      <w:pPr>
        <w:pStyle w:val="BodyText"/>
      </w:pPr>
      <w:r>
        <w:t xml:space="preserve">Due Date: November 24, 2023</w:t>
      </w:r>
    </w:p>
    <w:bookmarkEnd w:id="21"/>
    <w:bookmarkStart w:id="22" w:name="bill-to"/>
    <w:p>
      <w:pPr>
        <w:pStyle w:val="Heading3"/>
      </w:pPr>
      <w:r>
        <w:t xml:space="preserve">Bill To:</w:t>
      </w:r>
    </w:p>
    <w:p>
      <w:pPr>
        <w:pStyle w:val="FirstParagraph"/>
      </w:pPr>
      <w:r>
        <w:rPr>
          <w:bCs/>
          <w:b/>
        </w:rPr>
        <w:t xml:space="preserve">Siam Wellness Clinic</w:t>
      </w:r>
    </w:p>
    <w:p>
      <w:pPr>
        <w:pStyle w:val="BodyText"/>
      </w:pPr>
      <w:r>
        <w:t xml:space="preserve">Attn: Dr. Somchai Jirapongse</w:t>
      </w:r>
    </w:p>
    <w:p>
      <w:pPr>
        <w:pStyle w:val="BodyText"/>
      </w:pPr>
      <w:r>
        <w:t xml:space="preserve">789 Phayathai Road, Ratchathewi</w:t>
      </w:r>
    </w:p>
    <w:p>
      <w:pPr>
        <w:pStyle w:val="BodyText"/>
      </w:pPr>
      <w:r>
        <w:t xml:space="preserve">Bangkok 10400, Thailand</w:t>
      </w:r>
    </w:p>
    <w:p>
      <w:pPr>
        <w:pStyle w:val="BodyText"/>
      </w:pPr>
      <w:r>
        <w:t xml:space="preserve">Tax ID: 0-987-65432-10-9-8765</w:t>
      </w:r>
    </w:p>
    <w:bookmarkEnd w:id="22"/>
    <w:p>
      <w:pPr>
        <w:pStyle w:val="BodyText"/>
      </w:pPr>
      <w:r>
        <w:t xml:space="preserve">Dear Valued Client,</w:t>
      </w:r>
    </w:p>
    <w:p>
      <w:pPr>
        <w:pStyle w:val="BodyText"/>
      </w:pPr>
      <w:r>
        <w:t xml:space="preserve">This</w:t>
      </w:r>
      <w:r>
        <w:t xml:space="preserve"> </w:t>
      </w:r>
      <w:r>
        <w:rPr>
          <w:bCs/>
          <w:b/>
        </w:rPr>
        <w:t xml:space="preserve">Invoice</w:t>
      </w:r>
      <w:r>
        <w:t xml:space="preserve"> </w:t>
      </w:r>
      <w:r>
        <w:t xml:space="preserve">serves as a formal request for payment for professional pharmaceutical services rendered by a licensed</w:t>
      </w:r>
      <w:r>
        <w:t xml:space="preserve"> </w:t>
      </w:r>
      <w:r>
        <w:rPr>
          <w:bCs/>
          <w:b/>
        </w:rPr>
        <w:t xml:space="preserve">Pharmacist</w:t>
      </w:r>
      <w:r>
        <w:t xml:space="preserve"> </w:t>
      </w:r>
      <w:r>
        <w:t xml:space="preserve">operating within the jurisdiction of</w:t>
      </w:r>
      <w:r>
        <w:t xml:space="preserve"> </w:t>
      </w:r>
      <w:r>
        <w:rPr>
          <w:bCs/>
          <w:b/>
        </w:rPr>
        <w:t xml:space="preserve">Thailand Bangkok</w:t>
      </w:r>
      <w:r>
        <w:t xml:space="preserve">. The services detailed below were provided in strict accordance with the regulations set forth by the Thai Food and Drug Administration (FDA) and the Pharmaceutical Council of Thailand.</w:t>
      </w:r>
    </w:p>
    <w:p>
      <w:pPr>
        <w:pStyle w:val="BodyText"/>
      </w:pPr>
      <w:r>
        <w:t xml:space="preserve">As a dedicated healthcare provider in the bustling metropolis of Bangkok, our team ensures that all medication management, clinical consultations, and regulatory compliance tasks are executed with the highest level of precision and care. The following line items reflect the specialized expertise required to maintain optimal patient safety and operational efficiency in your facility.</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 Price (THB)</w:t>
            </w:r>
          </w:p>
        </w:tc>
        <w:tc>
          <w:tcPr/>
          <w:p>
            <w:pPr>
              <w:pStyle w:val="Compact"/>
              <w:jc w:val="left"/>
            </w:pPr>
            <w:r>
              <w:t xml:space="preserve">Total (THB)</w:t>
            </w:r>
          </w:p>
        </w:tc>
      </w:tr>
      <w:tr>
        <w:tc>
          <w:tcPr/>
          <w:p>
            <w:pPr>
              <w:pStyle w:val="Compact"/>
              <w:jc w:val="left"/>
            </w:pPr>
            <w:r>
              <w:t xml:space="preserve">1</w:t>
            </w:r>
          </w:p>
        </w:tc>
        <w:tc>
          <w:tcPr/>
          <w:p>
            <w:pPr>
              <w:pStyle w:val="Compact"/>
              <w:jc w:val="left"/>
            </w:pPr>
            <w:r>
              <w:rPr>
                <w:bCs/>
                <w:b/>
              </w:rPr>
              <w:t xml:space="preserve">Clinical Pharmacy Consultation:</w:t>
            </w:r>
            <w:r>
              <w:t xml:space="preserve"> </w:t>
            </w:r>
            <w:r>
              <w:t xml:space="preserve">Comprehensive review of patient medication profiles to prevent adverse drug interactions. This service was conducted on-site at your Bangkok clinic by a senior Pharmacist specializing in internal medicine.</w:t>
            </w:r>
          </w:p>
        </w:tc>
        <w:tc>
          <w:tcPr/>
          <w:p>
            <w:pPr>
              <w:pStyle w:val="Compact"/>
              <w:jc w:val="left"/>
            </w:pPr>
            <w:r>
              <w:t xml:space="preserve">10 Hours</w:t>
            </w:r>
          </w:p>
        </w:tc>
        <w:tc>
          <w:tcPr/>
          <w:p>
            <w:pPr>
              <w:pStyle w:val="Compact"/>
              <w:jc w:val="left"/>
            </w:pPr>
            <w:r>
              <w:t xml:space="preserve">1,500.00</w:t>
            </w:r>
          </w:p>
        </w:tc>
        <w:tc>
          <w:tcPr/>
          <w:p>
            <w:pPr>
              <w:pStyle w:val="Compact"/>
              <w:jc w:val="left"/>
            </w:pPr>
            <w:r>
              <w:t xml:space="preserve">15,000.00</w:t>
            </w:r>
          </w:p>
        </w:tc>
      </w:tr>
      <w:tr>
        <w:tc>
          <w:tcPr/>
          <w:p>
            <w:pPr>
              <w:pStyle w:val="Compact"/>
              <w:jc w:val="left"/>
            </w:pPr>
            <w:r>
              <w:t xml:space="preserve">2</w:t>
            </w:r>
          </w:p>
        </w:tc>
        <w:tc>
          <w:tcPr/>
          <w:p>
            <w:pPr>
              <w:pStyle w:val="Compact"/>
              <w:jc w:val="left"/>
            </w:pPr>
            <w:r>
              <w:rPr>
                <w:bCs/>
                <w:b/>
              </w:rPr>
              <w:t xml:space="preserve">Regulatory Compliance Audit:</w:t>
            </w:r>
            <w:r>
              <w:t xml:space="preserve"> </w:t>
            </w:r>
            <w:r>
              <w:t xml:space="preserve">Detailed inspection of drug storage conditions and inventory management systems to ensure full compliance with Thai pharmaceutical laws and Bangkok municipal health codes.</w:t>
            </w:r>
          </w:p>
        </w:tc>
        <w:tc>
          <w:tcPr/>
          <w:p>
            <w:pPr>
              <w:pStyle w:val="Compact"/>
              <w:jc w:val="left"/>
            </w:pPr>
            <w:r>
              <w:t xml:space="preserve">1 Day</w:t>
            </w:r>
          </w:p>
        </w:tc>
        <w:tc>
          <w:tcPr/>
          <w:p>
            <w:pPr>
              <w:pStyle w:val="Compact"/>
              <w:jc w:val="left"/>
            </w:pPr>
            <w:r>
              <w:t xml:space="preserve">8,000.00</w:t>
            </w:r>
          </w:p>
        </w:tc>
        <w:tc>
          <w:tcPr/>
          <w:p>
            <w:pPr>
              <w:pStyle w:val="Compact"/>
              <w:jc w:val="left"/>
            </w:pPr>
            <w:r>
              <w:t xml:space="preserve">8,000.00</w:t>
            </w:r>
          </w:p>
        </w:tc>
      </w:tr>
      <w:tr>
        <w:tc>
          <w:tcPr/>
          <w:p>
            <w:pPr>
              <w:pStyle w:val="Compact"/>
              <w:jc w:val="left"/>
            </w:pPr>
            <w:r>
              <w:t xml:space="preserve">3</w:t>
            </w:r>
          </w:p>
        </w:tc>
        <w:tc>
          <w:tcPr/>
          <w:p>
            <w:pPr>
              <w:pStyle w:val="Compact"/>
              <w:jc w:val="left"/>
            </w:pPr>
            <w:r>
              <w:rPr>
                <w:bCs/>
                <w:b/>
              </w:rPr>
              <w:t xml:space="preserve">Specialized Compounding Services:</w:t>
            </w:r>
            <w:r>
              <w:t xml:space="preserve"> </w:t>
            </w:r>
            <w:r>
              <w:t xml:space="preserve">Preparation of customized dosage forms for pediatric patients requiring specific concentrations not available in standard commercial products.</w:t>
            </w:r>
          </w:p>
        </w:tc>
        <w:tc>
          <w:tcPr/>
          <w:p>
            <w:pPr>
              <w:pStyle w:val="Compact"/>
              <w:jc w:val="left"/>
            </w:pPr>
            <w:r>
              <w:t xml:space="preserve">5 Units</w:t>
            </w:r>
          </w:p>
        </w:tc>
        <w:tc>
          <w:tcPr/>
          <w:p>
            <w:pPr>
              <w:pStyle w:val="Compact"/>
              <w:jc w:val="left"/>
            </w:pPr>
            <w:r>
              <w:t xml:space="preserve">1,200.00</w:t>
            </w:r>
          </w:p>
        </w:tc>
        <w:tc>
          <w:tcPr/>
          <w:p>
            <w:pPr>
              <w:pStyle w:val="Compact"/>
              <w:jc w:val="left"/>
            </w:pPr>
            <w:r>
              <w:t xml:space="preserve">6,000.00</w:t>
            </w:r>
          </w:p>
        </w:tc>
      </w:tr>
      <w:tr>
        <w:tc>
          <w:tcPr/>
          <w:p>
            <w:pPr>
              <w:pStyle w:val="Compact"/>
              <w:jc w:val="left"/>
            </w:pPr>
            <w:r>
              <w:t xml:space="preserve">4</w:t>
            </w:r>
          </w:p>
        </w:tc>
        <w:tc>
          <w:tcPr/>
          <w:p>
            <w:pPr>
              <w:pStyle w:val="Compact"/>
              <w:jc w:val="left"/>
            </w:pPr>
            <w:r>
              <w:rPr>
                <w:bCs/>
                <w:b/>
              </w:rPr>
              <w:t xml:space="preserve">Staff Training Workshop:</w:t>
            </w:r>
            <w:r>
              <w:t xml:space="preserve"> </w:t>
            </w:r>
            <w:r>
              <w:t xml:space="preserve">Educational session for nursing staff regarding proper medication administration techniques and handling of controlled substances in accordance with Thai law.</w:t>
            </w:r>
          </w:p>
        </w:tc>
        <w:tc>
          <w:tcPr/>
          <w:p>
            <w:pPr>
              <w:pStyle w:val="Compact"/>
              <w:jc w:val="left"/>
            </w:pPr>
            <w:r>
              <w:t xml:space="preserve">1 Session</w:t>
            </w:r>
          </w:p>
        </w:tc>
        <w:tc>
          <w:tcPr/>
          <w:p>
            <w:pPr>
              <w:pStyle w:val="Compact"/>
              <w:jc w:val="left"/>
            </w:pPr>
            <w:r>
              <w:t xml:space="preserve">5,000.00</w:t>
            </w:r>
          </w:p>
        </w:tc>
        <w:tc>
          <w:tcPr/>
          <w:p>
            <w:pPr>
              <w:pStyle w:val="Compact"/>
              <w:jc w:val="left"/>
            </w:pPr>
            <w:r>
              <w:t xml:space="preserve">5,000.00</w:t>
            </w:r>
          </w:p>
        </w:tc>
      </w:tr>
      <w:tr>
        <w:tc>
          <w:tcPr/>
          <w:p>
            <w:pPr>
              <w:pStyle w:val="Compact"/>
              <w:jc w:val="left"/>
            </w:pPr>
            <w:r>
              <w:t xml:space="preserve">5</w:t>
            </w:r>
          </w:p>
        </w:tc>
        <w:tc>
          <w:tcPr/>
          <w:p>
            <w:pPr>
              <w:pStyle w:val="Compact"/>
              <w:jc w:val="left"/>
            </w:pPr>
            <w:r>
              <w:rPr>
                <w:bCs/>
                <w:b/>
              </w:rPr>
              <w:t xml:space="preserve">Emergency On-Call Support:</w:t>
            </w:r>
            <w:r>
              <w:t xml:space="preserve"> </w:t>
            </w:r>
            <w:r>
              <w:t xml:space="preserve">Availability of a licensed Pharmacist for urgent pharmacological advice during non-business hours throughout the month of October.</w:t>
            </w:r>
          </w:p>
        </w:tc>
        <w:tc>
          <w:tcPr/>
          <w:p>
            <w:pPr>
              <w:pStyle w:val="Compact"/>
              <w:jc w:val="left"/>
            </w:pPr>
            <w:r>
              <w:t xml:space="preserve">1 Month</w:t>
            </w:r>
          </w:p>
        </w:tc>
        <w:tc>
          <w:tcPr/>
          <w:p>
            <w:pPr>
              <w:pStyle w:val="Compact"/>
              <w:jc w:val="left"/>
            </w:pPr>
            <w:r>
              <w:t xml:space="preserve">3,000.00</w:t>
            </w:r>
          </w:p>
        </w:tc>
        <w:tc>
          <w:tcPr/>
          <w:p>
            <w:pPr>
              <w:pStyle w:val="Compact"/>
              <w:jc w:val="left"/>
            </w:pPr>
            <w:r>
              <w:t xml:space="preserve">3,000.00</w:t>
            </w:r>
          </w:p>
        </w:tc>
      </w:tr>
    </w:tbl>
    <w:p>
      <w:pPr>
        <w:pStyle w:val="BodyText"/>
      </w:pPr>
      <w:r>
        <w:t xml:space="preserve">Subtotal:</w:t>
      </w:r>
      <w:r>
        <w:t xml:space="preserve"> </w:t>
      </w:r>
      <w:r>
        <w:t xml:space="preserve">37,000.00 THB</w:t>
      </w:r>
    </w:p>
    <w:p>
      <w:pPr>
        <w:pStyle w:val="BodyText"/>
      </w:pPr>
      <w:r>
        <w:t xml:space="preserve">VAT (7%):</w:t>
      </w:r>
      <w:r>
        <w:t xml:space="preserve"> </w:t>
      </w:r>
      <w:r>
        <w:t xml:space="preserve">2,590.00 THB</w:t>
      </w:r>
    </w:p>
    <w:p>
      <w:pPr>
        <w:pStyle w:val="BodyText"/>
      </w:pPr>
      <w:r>
        <w:t xml:space="preserve">Total Due:</w:t>
      </w:r>
      <w:r>
        <w:t xml:space="preserve"> </w:t>
      </w:r>
      <w:r>
        <w:t xml:space="preserve">39,590.00 THB</w:t>
      </w:r>
    </w:p>
    <w:bookmarkStart w:id="23" w:name="payment-instructions"/>
    <w:p>
      <w:pPr>
        <w:pStyle w:val="Heading4"/>
      </w:pPr>
      <w:r>
        <w:t xml:space="preserve">Payment Instructions</w:t>
      </w:r>
    </w:p>
    <w:p>
      <w:pPr>
        <w:pStyle w:val="FirstParagraph"/>
      </w:pPr>
      <w:r>
        <w:t xml:space="preserve">Please remit payment within 30 days of the invoice date. Payments can be made via bank transfer to the following account:</w:t>
      </w:r>
    </w:p>
    <w:p>
      <w:pPr>
        <w:pStyle w:val="BodyText"/>
      </w:pPr>
      <w:r>
        <w:rPr>
          <w:bCs/>
          <w:b/>
        </w:rPr>
        <w:t xml:space="preserve">Bank Name:</w:t>
      </w:r>
      <w:r>
        <w:t xml:space="preserve"> </w:t>
      </w:r>
      <w:r>
        <w:t xml:space="preserve">Kasikorn Bank (KBank)</w:t>
      </w:r>
      <w:r>
        <w:br/>
      </w:r>
      <w:r>
        <w:rPr>
          <w:bCs/>
          <w:b/>
        </w:rPr>
        <w:t xml:space="preserve">Branch:</w:t>
      </w:r>
      <w:r>
        <w:t xml:space="preserve"> </w:t>
      </w:r>
      <w:r>
        <w:t xml:space="preserve">Sukhumvit 21 Branch, Bangkok</w:t>
      </w:r>
      <w:r>
        <w:br/>
      </w:r>
      <w:r>
        <w:rPr>
          <w:bCs/>
          <w:b/>
        </w:rPr>
        <w:t xml:space="preserve">Account Name:</w:t>
      </w:r>
      <w:r>
        <w:t xml:space="preserve"> </w:t>
      </w:r>
      <w:r>
        <w:t xml:space="preserve">Bangkok Clinical Pharmacy Services Co., Ltd.</w:t>
      </w:r>
      <w:r>
        <w:br/>
      </w:r>
      <w:r>
        <w:rPr>
          <w:bCs/>
          <w:b/>
        </w:rPr>
        <w:t xml:space="preserve">Account Number:</w:t>
      </w:r>
      <w:r>
        <w:t xml:space="preserve"> </w:t>
      </w:r>
      <w:r>
        <w:t xml:space="preserve">123-4-56789-0</w:t>
      </w:r>
      <w:r>
        <w:br/>
      </w:r>
      <w:r>
        <w:rPr>
          <w:bCs/>
          <w:b/>
        </w:rPr>
        <w:t xml:space="preserve">SWIFT Code:</w:t>
      </w:r>
      <w:r>
        <w:t xml:space="preserve"> </w:t>
      </w:r>
      <w:r>
        <w:t xml:space="preserve">KASITHBK</w:t>
      </w:r>
    </w:p>
    <w:p>
      <w:pPr>
        <w:pStyle w:val="BodyText"/>
      </w:pPr>
      <w:r>
        <w:t xml:space="preserve">Please reference the Invoice Number (INV-BKK-2023-089) in your transfer description to ensure proper allocation of funds.</w:t>
      </w:r>
    </w:p>
    <w:bookmarkEnd w:id="23"/>
    <w:bookmarkStart w:id="24" w:name="terms-and-conditions"/>
    <w:p>
      <w:pPr>
        <w:pStyle w:val="Heading4"/>
      </w:pPr>
      <w:r>
        <w:t xml:space="preserve">Terms and Conditions</w:t>
      </w:r>
    </w:p>
    <w:p>
      <w:pPr>
        <w:pStyle w:val="FirstParagraph"/>
      </w:pPr>
      <w:r>
        <w:t xml:space="preserve">1. All services are provided by licensed professionals registered with the Ministry of Public Health, Thailand.</w:t>
      </w:r>
      <w:r>
        <w:br/>
      </w:r>
      <w:r>
        <w:t xml:space="preserve">2. Late payments may incur a penalty fee of 1.5% per month on the outstanding balance.</w:t>
      </w:r>
      <w:r>
        <w:br/>
      </w:r>
      <w:r>
        <w:t xml:space="preserve">3. This invoice is valid for tax deduction purposes in Thailand.</w:t>
      </w:r>
      <w:r>
        <w:br/>
      </w:r>
      <w:r>
        <w:t xml:space="preserve">4. Any disputes regarding the services rendered must be raised within 14 days of receiving this invoice.</w:t>
      </w:r>
      <w:r>
        <w:br/>
      </w:r>
      <w:r>
        <w:t xml:space="preserve">5. Confidentiality of all patient data and clinical information is maintained in accordance with Thai privacy laws.</w:t>
      </w:r>
    </w:p>
    <w:bookmarkEnd w:id="24"/>
    <w:p>
      <w:pPr>
        <w:pStyle w:val="BodyText"/>
      </w:pPr>
      <w:r>
        <w:rPr>
          <w:bCs/>
          <w:b/>
        </w:rPr>
        <w:t xml:space="preserve">Authorized by:</w:t>
      </w:r>
    </w:p>
    <w:p>
      <w:pPr>
        <w:pStyle w:val="BodyText"/>
      </w:pPr>
      <w:r>
        <w:t xml:space="preserve">Dr. Nattapong Srisawat</w:t>
      </w:r>
    </w:p>
    <w:p>
      <w:pPr>
        <w:pStyle w:val="BodyText"/>
      </w:pPr>
      <w:r>
        <w:t xml:space="preserve">Chief Pharmacist</w:t>
      </w:r>
    </w:p>
    <w:p>
      <w:pPr>
        <w:pStyle w:val="BodyText"/>
      </w:pPr>
      <w:r>
        <w:t xml:space="preserve">License No. 5678/2023</w:t>
      </w:r>
    </w:p>
    <w:p>
      <w:pPr>
        <w:pStyle w:val="BodyText"/>
      </w:pPr>
      <w:r>
        <w:rPr>
          <w:bCs/>
          <w:b/>
        </w:rPr>
        <w:t xml:space="preserve">Received by:</w:t>
      </w:r>
    </w:p>
    <w:p>
      <w:pPr>
        <w:pStyle w:val="BodyText"/>
      </w:pPr>
      <w:r>
        <w:t xml:space="preserve">__________________________</w:t>
      </w:r>
    </w:p>
    <w:p>
      <w:pPr>
        <w:pStyle w:val="BodyText"/>
      </w:pPr>
      <w:r>
        <w:t xml:space="preserve">Name &amp; Signature</w:t>
      </w:r>
    </w:p>
    <w:p>
      <w:pPr>
        <w:pStyle w:val="BodyText"/>
      </w:pPr>
      <w:r>
        <w:t xml:space="preserve">Date</w:t>
      </w:r>
    </w:p>
    <w:p>
      <w:pPr>
        <w:pStyle w:val="BodyText"/>
      </w:pPr>
      <w:r>
        <w:t xml:space="preserve">Thank you for choosing Bangkok Clinical Pharmacy Services. We are committed to providing exceptional pharmaceutical care in Thailand Bangkok and surrounding areas.</w:t>
      </w:r>
    </w:p>
    <w:p>
      <w:pPr>
        <w:pStyle w:val="BodyText"/>
      </w:pPr>
      <w:r>
        <w:t xml:space="preserve">This document is generated electronically and is valid without a physical signature.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Pharmacist Service Invoice - Bangkok, Thailand</dc:title>
  <dc:creator/>
  <dc:language>en</dc:language>
  <cp:keywords/>
  <dcterms:created xsi:type="dcterms:W3CDTF">2026-10-10T01:20:06Z</dcterms:created>
  <dcterms:modified xsi:type="dcterms:W3CDTF">2026-10-10T01:20:06Z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