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pharmaconsult-ankara"/>
    <w:p>
      <w:pPr>
        <w:pStyle w:val="Heading1"/>
      </w:pPr>
      <w:r>
        <w:t xml:space="preserve">PharmaConsult Ankara</w:t>
      </w:r>
    </w:p>
    <w:p>
      <w:pPr>
        <w:pStyle w:val="FirstParagraph"/>
      </w:pPr>
      <w:r>
        <w:rPr>
          <w:bCs/>
          <w:b/>
        </w:rPr>
        <w:t xml:space="preserve">Licensed Pharmacist Services &amp; Regulatory Consulting</w:t>
      </w:r>
    </w:p>
    <w:p>
      <w:pPr>
        <w:pStyle w:val="BodyText"/>
      </w:pPr>
      <w:r>
        <w:t xml:space="preserve">Kızılay Mahallesi, Atatürk Bulvarı No: 123</w:t>
      </w:r>
    </w:p>
    <w:p>
      <w:pPr>
        <w:pStyle w:val="BodyText"/>
      </w:pPr>
      <w:r>
        <w:t xml:space="preserve">Çankaya, 06420 Ankara, Turkey</w:t>
      </w:r>
    </w:p>
    <w:p>
      <w:pPr>
        <w:pStyle w:val="BodyText"/>
      </w:pPr>
      <w:r>
        <w:t xml:space="preserve">Tax ID (Vergi No): 123 456 78 90</w:t>
      </w:r>
    </w:p>
    <w:p>
      <w:pPr>
        <w:pStyle w:val="BodyText"/>
      </w:pPr>
      <w:r>
        <w:t xml:space="preserve">Email: billing@pharmaconsultankara.com.tr</w:t>
      </w:r>
    </w:p>
    <w:p>
      <w:pPr>
        <w:pStyle w:val="BodyText"/>
      </w:pPr>
      <w:r>
        <w:t xml:space="preserve">Phone: +90 (312) 555 01 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INV-2023-ANK-089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MediLife Hospital Group</w:t>
      </w:r>
    </w:p>
    <w:p>
      <w:pPr>
        <w:pStyle w:val="BodyText"/>
      </w:pPr>
      <w:r>
        <w:t xml:space="preserve">Atatürk Mahallesi, Ulus Caddesi No: 45</w:t>
      </w:r>
    </w:p>
    <w:p>
      <w:pPr>
        <w:pStyle w:val="BodyText"/>
      </w:pPr>
      <w:r>
        <w:t xml:space="preserve">Altındağ, 06010 Ankara, Turkey</w:t>
      </w:r>
    </w:p>
    <w:p>
      <w:pPr>
        <w:pStyle w:val="BodyText"/>
      </w:pPr>
      <w:r>
        <w:t xml:space="preserve">Attn: Procurement Department</w:t>
      </w:r>
    </w:p>
    <w:p>
      <w:pPr>
        <w:pStyle w:val="BodyText"/>
      </w:pPr>
      <w:r>
        <w:t xml:space="preserve">Tax ID (Vergi No): 987 654 32 10</w:t>
      </w:r>
    </w:p>
    <w:p>
      <w:pPr>
        <w:pStyle w:val="BodyText"/>
      </w:pPr>
      <w:r>
        <w:t xml:space="preserve">Description of Professional Pharmacist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Clinical Pharmacy Consultation:</w:t>
            </w:r>
            <w:r>
              <w:t xml:space="preserve"> </w:t>
            </w:r>
            <w:r>
              <w:t xml:space="preserve">Comprehensive review of patient medication profiles for the oncology ward. This service includes the identification of potential drug-drug interactions, dosage adjustments based on renal function, and therapeutic recommendations provided by a licensed Pharmacist in accordance with Turkish Ministry of Health regulations.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Regulatory Compliance Audit:</w:t>
            </w:r>
            <w:r>
              <w:t xml:space="preserve"> </w:t>
            </w:r>
            <w:r>
              <w:t xml:space="preserve">Detailed audit of the hospital pharmacy storage conditions and inventory management systems in Ankara. Ensuring compliance with Good Pharmacy Practice (GPP) standards required for pharmaceutical facilities operating in Turkey. Includes written report and corrective action plan.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Staff Training Workshop:</w:t>
            </w:r>
            <w:r>
              <w:t xml:space="preserve"> </w:t>
            </w:r>
            <w:r>
              <w:t xml:space="preserve">"Antimicrobial Stewardship and Rational Drug Use" seminar conducted by senior Pharmacist staff. Training provided to nursing and medical staff to optimize antibiotic usage and reduce resistance risks within the facility.</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Pharmacovigilance Reporting:</w:t>
            </w:r>
            <w:r>
              <w:t xml:space="preserve"> </w:t>
            </w:r>
            <w:r>
              <w:t xml:space="preserve">Analysis and submission of adverse drug reaction (ADR) reports to the Turkish Pharmacovigilance Center (TÜFAD). Includes data collection, causality assessment, and regulatory filing for the reporting period.</w:t>
            </w:r>
          </w:p>
        </w:tc>
        <w:tc>
          <w:tcPr/>
          <w:p>
            <w:pPr>
              <w:pStyle w:val="Compact"/>
              <w:jc w:val="left"/>
            </w:pPr>
            <w:r>
              <w:t xml:space="preserve">15</w:t>
            </w:r>
          </w:p>
        </w:tc>
        <w:tc>
          <w:tcPr/>
          <w:p>
            <w:pPr>
              <w:pStyle w:val="Compact"/>
              <w:jc w:val="left"/>
            </w:pPr>
            <w:r>
              <w:t xml:space="preserve">600.00</w:t>
            </w:r>
          </w:p>
        </w:tc>
        <w:tc>
          <w:tcPr/>
          <w:p>
            <w:pPr>
              <w:pStyle w:val="Compact"/>
              <w:jc w:val="left"/>
            </w:pPr>
            <w:r>
              <w:t xml:space="preserve">9,000.00</w:t>
            </w:r>
          </w:p>
        </w:tc>
      </w:tr>
    </w:tbl>
    <w:p>
      <w:pPr>
        <w:pStyle w:val="BodyText"/>
      </w:pPr>
      <w:r>
        <w:t xml:space="preserve">Subtotal:</w:t>
      </w:r>
      <w:r>
        <w:t xml:space="preserve"> </w:t>
      </w:r>
      <w:r>
        <w:t xml:space="preserve">40,500.00 TRY</w:t>
      </w:r>
    </w:p>
    <w:p>
      <w:pPr>
        <w:pStyle w:val="BodyText"/>
      </w:pPr>
      <w:r>
        <w:t xml:space="preserve">VAT (KDV) 18%:</w:t>
      </w:r>
      <w:r>
        <w:t xml:space="preserve"> </w:t>
      </w:r>
      <w:r>
        <w:t xml:space="preserve">7,290.00 TRY</w:t>
      </w:r>
    </w:p>
    <w:p>
      <w:pPr>
        <w:pStyle w:val="BodyText"/>
      </w:pPr>
      <w:r>
        <w:t xml:space="preserve">TOTAL DUE:</w:t>
      </w:r>
      <w:r>
        <w:t xml:space="preserve"> </w:t>
      </w:r>
      <w:r>
        <w:t xml:space="preserve">47,790.00 TRY</w:t>
      </w:r>
    </w:p>
    <w:p>
      <w:pPr>
        <w:pStyle w:val="BodyText"/>
      </w:pPr>
      <w:r>
        <w:t xml:space="preserve">Payment Instructions</w:t>
      </w:r>
    </w:p>
    <w:p>
      <w:pPr>
        <w:pStyle w:val="BodyText"/>
      </w:pPr>
      <w:r>
        <w:t xml:space="preserve">Please make payment via bank transfer to the following account within 30 days of the invoice date:</w:t>
      </w:r>
    </w:p>
    <w:p>
      <w:pPr>
        <w:pStyle w:val="BodyText"/>
      </w:pPr>
      <w:r>
        <w:rPr>
          <w:bCs/>
          <w:b/>
        </w:rPr>
        <w:t xml:space="preserve">Bank Name:</w:t>
      </w:r>
      <w:r>
        <w:t xml:space="preserve"> </w:t>
      </w:r>
      <w:r>
        <w:t xml:space="preserve">Ziraat Bankası</w:t>
      </w:r>
      <w:r>
        <w:br/>
      </w:r>
      <w:r>
        <w:rPr>
          <w:bCs/>
          <w:b/>
        </w:rPr>
        <w:t xml:space="preserve">Branch:</w:t>
      </w:r>
      <w:r>
        <w:t xml:space="preserve"> </w:t>
      </w:r>
      <w:r>
        <w:t xml:space="preserve">Çankaya Merkez, Ankara</w:t>
      </w:r>
      <w:r>
        <w:br/>
      </w:r>
      <w:r>
        <w:rPr>
          <w:bCs/>
          <w:b/>
        </w:rPr>
        <w:t xml:space="preserve">Account Name:</w:t>
      </w:r>
      <w:r>
        <w:t xml:space="preserve"> </w:t>
      </w:r>
      <w:r>
        <w:t xml:space="preserve">PharmaConsult Ankara Ltd. Şti.</w:t>
      </w:r>
      <w:r>
        <w:br/>
      </w:r>
      <w:r>
        <w:rPr>
          <w:bCs/>
          <w:b/>
        </w:rPr>
        <w:t xml:space="preserve">IBAN:</w:t>
      </w:r>
      <w:r>
        <w:t xml:space="preserve"> </w:t>
      </w:r>
      <w:r>
        <w:t xml:space="preserve">TR00 0010 0099 9900 1234 5678 90</w:t>
      </w:r>
      <w:r>
        <w:br/>
      </w:r>
      <w:r>
        <w:rPr>
          <w:bCs/>
          <w:b/>
        </w:rPr>
        <w:t xml:space="preserve">SWIFT/BIC:</w:t>
      </w:r>
      <w:r>
        <w:t xml:space="preserve"> </w:t>
      </w:r>
      <w:r>
        <w:t xml:space="preserve">ZIRATR2X</w:t>
      </w:r>
    </w:p>
    <w:p>
      <w:pPr>
        <w:pStyle w:val="BodyText"/>
      </w:pPr>
      <w:r>
        <w:t xml:space="preserve">Please reference Invoice Number</w:t>
      </w:r>
      <w:r>
        <w:t xml:space="preserve"> </w:t>
      </w:r>
      <w:r>
        <w:rPr>
          <w:bCs/>
          <w:b/>
        </w:rPr>
        <w:t xml:space="preserve">INV-2023-ANK-089</w:t>
      </w:r>
      <w:r>
        <w:t xml:space="preserve"> </w:t>
      </w:r>
      <w:r>
        <w:t xml:space="preserve">in the payment description.</w:t>
      </w:r>
    </w:p>
    <w:p>
      <w:pPr>
        <w:pStyle w:val="BodyText"/>
      </w:pPr>
      <w:r>
        <w:t xml:space="preserve">Terms and Conditions</w:t>
      </w:r>
    </w:p>
    <w:p>
      <w:pPr>
        <w:numPr>
          <w:ilvl w:val="0"/>
          <w:numId w:val="1001"/>
        </w:numPr>
        <w:pStyle w:val="Compact"/>
      </w:pPr>
      <w:r>
        <w:t xml:space="preserve">All services rendered are performed by licensed Pharmacists registered with the Ankara Pharmacists Chamber (Ankara Eczacı Odası).</w:t>
      </w:r>
    </w:p>
    <w:p>
      <w:pPr>
        <w:numPr>
          <w:ilvl w:val="0"/>
          <w:numId w:val="1001"/>
        </w:numPr>
        <w:pStyle w:val="Compact"/>
      </w:pPr>
      <w:r>
        <w:t xml:space="preserve">Late payments will incur a penalty interest rate in accordance with the Turkish Commercial Code.</w:t>
      </w:r>
    </w:p>
    <w:p>
      <w:pPr>
        <w:numPr>
          <w:ilvl w:val="0"/>
          <w:numId w:val="1001"/>
        </w:numPr>
        <w:pStyle w:val="Compact"/>
      </w:pPr>
      <w:r>
        <w:t xml:space="preserve">This invoice is valid for tax purposes in Turkey. Please retain this document for your accounting records.</w:t>
      </w:r>
    </w:p>
    <w:p>
      <w:pPr>
        <w:numPr>
          <w:ilvl w:val="0"/>
          <w:numId w:val="1001"/>
        </w:numPr>
        <w:pStyle w:val="Compact"/>
      </w:pPr>
      <w:r>
        <w:t xml:space="preserve">Any disputes regarding this invoice must be raised within 15 days of receipt.</w:t>
      </w:r>
    </w:p>
    <w:p>
      <w:pPr>
        <w:numPr>
          <w:ilvl w:val="0"/>
          <w:numId w:val="1001"/>
        </w:numPr>
        <w:pStyle w:val="Compact"/>
      </w:pPr>
      <w:r>
        <w:t xml:space="preserve">Confidentiality: All patient data and hospital information handled during these services are treated with strict confidentiality in compliance with Turkish Law No. 6698 (KVKK).</w:t>
      </w:r>
    </w:p>
    <w:p>
      <w:pPr>
        <w:pStyle w:val="FirstParagraph"/>
      </w:pPr>
      <w:r>
        <w:t xml:space="preserve">Authorized Signature</w:t>
      </w:r>
      <w:r>
        <w:br/>
      </w:r>
      <w:r>
        <w:t xml:space="preserve">PharmaConsult Ankara</w:t>
      </w:r>
    </w:p>
    <w:p>
      <w:pPr>
        <w:pStyle w:val="BodyText"/>
      </w:pPr>
      <w:r>
        <w:t xml:space="preserve">Received By</w:t>
      </w:r>
      <w:r>
        <w:br/>
      </w:r>
      <w:r>
        <w:t xml:space="preserve">MediLife Hospital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Ankara, Turkey</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