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Pharmacist</w:t>
      </w:r>
      <w:r>
        <w:t xml:space="preserve"> </w:t>
      </w:r>
      <w:r>
        <w:t xml:space="preserve">Invoice</w:t>
      </w:r>
      <w:r>
        <w:t xml:space="preserve"> </w:t>
      </w:r>
      <w:r>
        <w:t xml:space="preserve">-</w:t>
      </w:r>
      <w:r>
        <w:t xml:space="preserve"> </w:t>
      </w:r>
      <w:r>
        <w:t xml:space="preserve">Dubai,</w:t>
      </w:r>
      <w:r>
        <w:t xml:space="preserve"> </w:t>
      </w:r>
      <w:r>
        <w:t xml:space="preserve">UAE</w:t>
      </w:r>
    </w:p>
    <w:bookmarkStart w:id="20" w:name="emirates-clinical-pharmacy-services"/>
    <w:p>
      <w:pPr>
        <w:pStyle w:val="Heading1"/>
      </w:pPr>
      <w:r>
        <w:t xml:space="preserve">Emirates Clinical Pharmacy Services</w:t>
      </w:r>
    </w:p>
    <w:p>
      <w:pPr>
        <w:pStyle w:val="FirstParagraph"/>
      </w:pPr>
      <w:r>
        <w:t xml:space="preserve">Licensed Pharmacist Consultancy &amp; Supply</w:t>
      </w:r>
      <w:r>
        <w:br/>
      </w:r>
      <w:r>
        <w:t xml:space="preserve">Trade License No: DXB-7782910</w:t>
      </w:r>
      <w:r>
        <w:br/>
      </w:r>
      <w:r>
        <w:t xml:space="preserve">Dubai Health Authority (DHA) Reg. No: 992104</w:t>
      </w:r>
      <w:r>
        <w:br/>
      </w:r>
      <w:r>
        <w:t xml:space="preserve">Office 402, Healthcare Tower, Business Bay</w:t>
      </w:r>
      <w:r>
        <w:br/>
      </w:r>
      <w:r>
        <w:t xml:space="preserve">Dubai, United Arab Emirates</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Dr. Ahmed Al-Mansoori, PharmD</w:t>
      </w:r>
      <w:r>
        <w:br/>
      </w:r>
      <w:r>
        <w:t xml:space="preserve">Senior Clinical Pharmacist</w:t>
      </w:r>
      <w:r>
        <w:br/>
      </w:r>
      <w:r>
        <w:t xml:space="preserve">Emirates Clinical Pharmacy Services</w:t>
      </w:r>
      <w:r>
        <w:br/>
      </w:r>
      <w:r>
        <w:t xml:space="preserve">Email: billing@emiratespharmacy.ae</w:t>
      </w:r>
      <w:r>
        <w:br/>
      </w:r>
      <w:r>
        <w:t xml:space="preserve">Phone: +971 4 123 4567</w:t>
      </w:r>
    </w:p>
    <w:bookmarkEnd w:id="22"/>
    <w:bookmarkStart w:id="23" w:name="bill-to-client"/>
    <w:p>
      <w:pPr>
        <w:pStyle w:val="Heading3"/>
      </w:pPr>
      <w:r>
        <w:t xml:space="preserve">Bill To (Client)</w:t>
      </w:r>
    </w:p>
    <w:p>
      <w:pPr>
        <w:pStyle w:val="FirstParagraph"/>
      </w:pPr>
      <w:r>
        <w:rPr>
          <w:bCs/>
          <w:b/>
        </w:rPr>
        <w:t xml:space="preserve">Al-Noor Medical Center</w:t>
      </w:r>
      <w:r>
        <w:br/>
      </w:r>
      <w:r>
        <w:t xml:space="preserve">Attn: Procurement Department</w:t>
      </w:r>
      <w:r>
        <w:br/>
      </w:r>
      <w:r>
        <w:t xml:space="preserve">Sheikh Zayed Road, Cluster M</w:t>
      </w:r>
      <w:r>
        <w:br/>
      </w:r>
      <w:r>
        <w:t xml:space="preserve">Dubai, United Arab Emirates</w:t>
      </w:r>
      <w:r>
        <w:br/>
      </w:r>
      <w:r>
        <w:t xml:space="preserve">TRN: 100234567800003</w:t>
      </w:r>
      <w:r>
        <w:br/>
      </w:r>
      <w:r>
        <w:t xml:space="preserve">Email: accounts@alnoormedical.ae</w:t>
      </w:r>
    </w:p>
    <w:bookmarkEnd w:id="23"/>
    <w:bookmarkStart w:id="24" w:name="scope-of-services-and-goods"/>
    <w:p>
      <w:pPr>
        <w:pStyle w:val="Heading3"/>
      </w:pPr>
      <w:r>
        <w:t xml:space="preserve">Scope of Services and Goods</w:t>
      </w:r>
    </w:p>
    <w:p>
      <w:pPr>
        <w:pStyle w:val="FirstParagraph"/>
      </w:pPr>
      <w:r>
        <w:t xml:space="preserve">This document serves as a formal</w:t>
      </w:r>
      <w:r>
        <w:t xml:space="preserve"> </w:t>
      </w:r>
      <w:r>
        <w:rPr>
          <w:bCs/>
          <w:b/>
        </w:rPr>
        <w:t xml:space="preserve">Invoice</w:t>
      </w:r>
      <w:r>
        <w:t xml:space="preserve"> </w:t>
      </w:r>
      <w:r>
        <w:t xml:space="preserve">issued by a licensed</w:t>
      </w:r>
      <w:r>
        <w:t xml:space="preserve"> </w:t>
      </w:r>
      <w:r>
        <w:rPr>
          <w:bCs/>
          <w:b/>
        </w:rPr>
        <w:t xml:space="preserve">Pharmacist</w:t>
      </w:r>
      <w:r>
        <w:t xml:space="preserve"> </w:t>
      </w:r>
      <w:r>
        <w:t xml:space="preserve">operating under the regulatory framework of the</w:t>
      </w:r>
      <w:r>
        <w:t xml:space="preserve"> </w:t>
      </w:r>
      <w:r>
        <w:rPr>
          <w:bCs/>
          <w:b/>
        </w:rPr>
        <w:t xml:space="preserve">United Arab Emirates Dubai</w:t>
      </w:r>
      <w:r>
        <w:t xml:space="preserve"> </w:t>
      </w:r>
      <w:r>
        <w:t xml:space="preserve">jurisdiction. The following charges reflect professional pharmaceutical services, clinical consultations, and specialized medication supply provided during the billing period. All services adhere strictly to the guidelines set forth by the Dubai Health Authority (DHA) and the Ministry of Health and Prevention (MOHAP).</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 / Item</w:t>
            </w:r>
          </w:p>
        </w:tc>
        <w:tc>
          <w:tcPr/>
          <w:p>
            <w:pPr>
              <w:pStyle w:val="Compact"/>
              <w:jc w:val="left"/>
            </w:pPr>
            <w:r>
              <w:t xml:space="preserve">Quantity / Hours</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rPr>
                <w:bCs/>
                <w:b/>
              </w:rPr>
              <w:t xml:space="preserve">Clinical Pharmacy Consultation</w:t>
            </w:r>
            <w:r>
              <w:br/>
            </w:r>
            <w:r>
              <w:t xml:space="preserve">Comprehensive medication therapy management (MTM) and patient counseling services provided by a senior Pharmacist. Includes review of patient charts and drug interaction analysis.</w:t>
            </w:r>
          </w:p>
        </w:tc>
        <w:tc>
          <w:tcPr/>
          <w:p>
            <w:pPr>
              <w:pStyle w:val="Compact"/>
              <w:jc w:val="left"/>
            </w:pPr>
            <w:r>
              <w:t xml:space="preserve">10 Hours</w:t>
            </w:r>
          </w:p>
        </w:tc>
        <w:tc>
          <w:tcPr/>
          <w:p>
            <w:pPr>
              <w:pStyle w:val="Compact"/>
              <w:jc w:val="left"/>
            </w:pPr>
            <w:r>
              <w:t xml:space="preserve">450.00</w:t>
            </w:r>
          </w:p>
        </w:tc>
        <w:tc>
          <w:tcPr/>
          <w:p>
            <w:pPr>
              <w:pStyle w:val="Compact"/>
              <w:jc w:val="left"/>
            </w:pPr>
            <w:r>
              <w:t xml:space="preserve">4,500.00</w:t>
            </w:r>
          </w:p>
        </w:tc>
      </w:tr>
      <w:tr>
        <w:tc>
          <w:tcPr/>
          <w:p>
            <w:pPr>
              <w:pStyle w:val="Compact"/>
              <w:jc w:val="left"/>
            </w:pPr>
            <w:r>
              <w:rPr>
                <w:bCs/>
                <w:b/>
              </w:rPr>
              <w:t xml:space="preserve">Pharmacovigilance Reporting</w:t>
            </w:r>
            <w:r>
              <w:br/>
            </w:r>
            <w:r>
              <w:t xml:space="preserve">Documentation and submission of adverse drug reaction reports to the UAE national pharmacovigilance center.</w:t>
            </w:r>
          </w:p>
        </w:tc>
        <w:tc>
          <w:tcPr/>
          <w:p>
            <w:pPr>
              <w:pStyle w:val="Compact"/>
              <w:jc w:val="left"/>
            </w:pPr>
            <w:r>
              <w:t xml:space="preserve">5 Reports</w:t>
            </w:r>
          </w:p>
        </w:tc>
        <w:tc>
          <w:tcPr/>
          <w:p>
            <w:pPr>
              <w:pStyle w:val="Compact"/>
              <w:jc w:val="left"/>
            </w:pPr>
            <w:r>
              <w:t xml:space="preserve">200.00</w:t>
            </w:r>
          </w:p>
        </w:tc>
        <w:tc>
          <w:tcPr/>
          <w:p>
            <w:pPr>
              <w:pStyle w:val="Compact"/>
              <w:jc w:val="left"/>
            </w:pPr>
            <w:r>
              <w:t xml:space="preserve">1,000.00</w:t>
            </w:r>
          </w:p>
        </w:tc>
      </w:tr>
      <w:tr>
        <w:tc>
          <w:tcPr/>
          <w:p>
            <w:pPr>
              <w:pStyle w:val="Compact"/>
              <w:jc w:val="left"/>
            </w:pPr>
            <w:r>
              <w:rPr>
                <w:bCs/>
                <w:b/>
              </w:rPr>
              <w:t xml:space="preserve">Specialized Medication Supply</w:t>
            </w:r>
            <w:r>
              <w:br/>
            </w:r>
            <w:r>
              <w:t xml:space="preserve">Provision of temperature-controlled pharmaceuticals requiring specialized storage, compliant with Dubai cold-chain regulations.</w:t>
            </w:r>
          </w:p>
        </w:tc>
        <w:tc>
          <w:tcPr/>
          <w:p>
            <w:pPr>
              <w:pStyle w:val="Compact"/>
              <w:jc w:val="left"/>
            </w:pPr>
            <w:r>
              <w:t xml:space="preserve">1 Batch</w:t>
            </w:r>
          </w:p>
        </w:tc>
        <w:tc>
          <w:tcPr/>
          <w:p>
            <w:pPr>
              <w:pStyle w:val="Compact"/>
              <w:jc w:val="left"/>
            </w:pPr>
            <w:r>
              <w:t xml:space="preserve">3,200.00</w:t>
            </w:r>
          </w:p>
        </w:tc>
        <w:tc>
          <w:tcPr/>
          <w:p>
            <w:pPr>
              <w:pStyle w:val="Compact"/>
              <w:jc w:val="left"/>
            </w:pPr>
            <w:r>
              <w:t xml:space="preserve">3,200.00</w:t>
            </w:r>
          </w:p>
        </w:tc>
      </w:tr>
      <w:tr>
        <w:tc>
          <w:tcPr/>
          <w:p>
            <w:pPr>
              <w:pStyle w:val="Compact"/>
              <w:jc w:val="left"/>
            </w:pPr>
            <w:r>
              <w:rPr>
                <w:bCs/>
                <w:b/>
              </w:rPr>
              <w:t xml:space="preserve">Regulatory Compliance Audit</w:t>
            </w:r>
            <w:r>
              <w:br/>
            </w:r>
            <w:r>
              <w:t xml:space="preserve">On-site inspection of pharmacy inventory and dispensing procedures to ensure alignment with current UAE Federal Law No. 4 of 2016.</w:t>
            </w:r>
          </w:p>
        </w:tc>
        <w:tc>
          <w:tcPr/>
          <w:p>
            <w:pPr>
              <w:pStyle w:val="Compact"/>
              <w:jc w:val="left"/>
            </w:pPr>
            <w:r>
              <w:t xml:space="preserve">1 Day</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10,200.00 AED</w:t>
      </w:r>
    </w:p>
    <w:p>
      <w:pPr>
        <w:pStyle w:val="BodyText"/>
      </w:pPr>
      <w:r>
        <w:t xml:space="preserve">VAT (5%):</w:t>
      </w:r>
      <w:r>
        <w:t xml:space="preserve"> </w:t>
      </w:r>
      <w:r>
        <w:t xml:space="preserve">510.00 AED</w:t>
      </w:r>
    </w:p>
    <w:p>
      <w:pPr>
        <w:pStyle w:val="BodyText"/>
      </w:pPr>
      <w:r>
        <w:t xml:space="preserve">Total Amount Due:</w:t>
      </w:r>
      <w:r>
        <w:t xml:space="preserve"> </w:t>
      </w:r>
      <w:r>
        <w:t xml:space="preserve">10,710.00 AED</w:t>
      </w:r>
    </w:p>
    <w:bookmarkStart w:id="25" w:name="payment-terms-and-banking-details"/>
    <w:p>
      <w:pPr>
        <w:pStyle w:val="Heading3"/>
      </w:pPr>
      <w:r>
        <w:t xml:space="preserve">Payment Terms and Banking Details</w:t>
      </w:r>
    </w:p>
    <w:p>
      <w:pPr>
        <w:pStyle w:val="FirstParagraph"/>
      </w:pPr>
      <w:r>
        <w:rPr>
          <w:bCs/>
          <w:b/>
        </w:rPr>
        <w:t xml:space="preserve">Payment Method:</w:t>
      </w:r>
      <w:r>
        <w:t xml:space="preserve"> </w:t>
      </w:r>
      <w:r>
        <w:t xml:space="preserve">Bank Transfer (Wire Transfer)</w:t>
      </w:r>
      <w:r>
        <w:br/>
      </w:r>
      <w:r>
        <w:rPr>
          <w:bCs/>
          <w:b/>
        </w:rPr>
        <w:t xml:space="preserve">Bank Name:</w:t>
      </w:r>
      <w:r>
        <w:t xml:space="preserve"> </w:t>
      </w:r>
      <w:r>
        <w:t xml:space="preserve">Emirates NBD</w:t>
      </w:r>
      <w:r>
        <w:br/>
      </w:r>
      <w:r>
        <w:rPr>
          <w:bCs/>
          <w:b/>
        </w:rPr>
        <w:t xml:space="preserve">Account Name:</w:t>
      </w:r>
      <w:r>
        <w:t xml:space="preserve"> </w:t>
      </w:r>
      <w:r>
        <w:t xml:space="preserve">Emirates Clinical Pharmacy Services LLC</w:t>
      </w:r>
      <w:r>
        <w:br/>
      </w:r>
      <w:r>
        <w:rPr>
          <w:bCs/>
          <w:b/>
        </w:rPr>
        <w:t xml:space="preserve">IBAN:</w:t>
      </w:r>
      <w:r>
        <w:t xml:space="preserve"> </w:t>
      </w:r>
      <w:r>
        <w:t xml:space="preserve">AE07 0331 2345 6789 0123 456</w:t>
      </w:r>
      <w:r>
        <w:br/>
      </w:r>
      <w:r>
        <w:rPr>
          <w:bCs/>
          <w:b/>
        </w:rPr>
        <w:t xml:space="preserve">SWIFT Code:</w:t>
      </w:r>
      <w:r>
        <w:t xml:space="preserve"> </w:t>
      </w:r>
      <w:r>
        <w:t xml:space="preserve">EBILAEAD</w:t>
      </w:r>
      <w:r>
        <w:br/>
      </w:r>
      <w:r>
        <w:rPr>
          <w:bCs/>
          <w:b/>
        </w:rPr>
        <w:t xml:space="preserve">Reference:</w:t>
      </w:r>
      <w:r>
        <w:t xml:space="preserve"> </w:t>
      </w:r>
      <w:r>
        <w:t xml:space="preserve">Please use Invoice #INV-2023-8842 as the payment reference.</w:t>
      </w:r>
    </w:p>
    <w:p>
      <w:pPr>
        <w:pStyle w:val="BodyText"/>
      </w:pPr>
      <w:r>
        <w:t xml:space="preserve">Payment is due within 30 days of the invoice date. Late payments may incur a penalty fee of 1% per month in accordance with commercial practices in the United Arab Emirates Dubai. Please ensure that the Tax Registration Number (TRN) is included on all checks or transfer references.</w:t>
      </w:r>
    </w:p>
    <w:bookmarkEnd w:id="25"/>
    <w:bookmarkStart w:id="26" w:name="Xe83cfc1317d3d5a7d66830aa4d21268bc55842a"/>
    <w:p>
      <w:pPr>
        <w:pStyle w:val="Heading3"/>
      </w:pPr>
      <w:r>
        <w:t xml:space="preserve">Legal and Regulatory Compliance Statement</w:t>
      </w:r>
    </w:p>
    <w:p>
      <w:pPr>
        <w:pStyle w:val="FirstParagraph"/>
      </w:pPr>
      <w:r>
        <w:t xml:space="preserve">This</w:t>
      </w:r>
      <w:r>
        <w:t xml:space="preserve"> </w:t>
      </w:r>
      <w:r>
        <w:rPr>
          <w:bCs/>
          <w:b/>
        </w:rPr>
        <w:t xml:space="preserve">Invoice</w:t>
      </w:r>
      <w:r>
        <w:t xml:space="preserve"> </w:t>
      </w:r>
      <w:r>
        <w:t xml:space="preserve">is issued in accordance with the Federal Decree-Law No. 8 of 2017 on Value Added Tax and the Executive Regulations of the Federal Tax Authority (FTA) of the</w:t>
      </w:r>
      <w:r>
        <w:t xml:space="preserve"> </w:t>
      </w:r>
      <w:r>
        <w:rPr>
          <w:bCs/>
          <w:b/>
        </w:rPr>
        <w:t xml:space="preserve">United Arab Emirates</w:t>
      </w:r>
      <w:r>
        <w:t xml:space="preserve">. As a registered</w:t>
      </w:r>
      <w:r>
        <w:t xml:space="preserve"> </w:t>
      </w:r>
      <w:r>
        <w:rPr>
          <w:bCs/>
          <w:b/>
        </w:rPr>
        <w:t xml:space="preserve">Pharmacist</w:t>
      </w:r>
      <w:r>
        <w:t xml:space="preserve"> </w:t>
      </w:r>
      <w:r>
        <w:t xml:space="preserve">and healthcare provider operating in</w:t>
      </w:r>
      <w:r>
        <w:t xml:space="preserve"> </w:t>
      </w:r>
      <w:r>
        <w:rPr>
          <w:bCs/>
          <w:b/>
        </w:rPr>
        <w:t xml:space="preserve">Dubai</w:t>
      </w:r>
      <w:r>
        <w:t xml:space="preserve">, the undersigned guarantees that all services rendered and goods supplied meet the highest standards of quality and safety mandated by the Dubai Health Authority (DHA).</w:t>
      </w:r>
    </w:p>
    <w:p>
      <w:pPr>
        <w:pStyle w:val="BodyText"/>
      </w:pPr>
      <w:r>
        <w:t xml:space="preserve">The provision of pharmaceutical services in the</w:t>
      </w:r>
      <w:r>
        <w:t xml:space="preserve"> </w:t>
      </w:r>
      <w:r>
        <w:rPr>
          <w:bCs/>
          <w:b/>
        </w:rPr>
        <w:t xml:space="preserve">United Arab Emirates Dubai</w:t>
      </w:r>
      <w:r>
        <w:t xml:space="preserve"> </w:t>
      </w:r>
      <w:r>
        <w:t xml:space="preserve">is strictly regulated to ensure patient safety and public health. This invoice reflects transactions that have been verified against the client's requirements and the professional standards of the pharmacy profession. Any controlled substances or prescription medications listed herein have been dispensed in compliance with Federal Law No. 3 of 2003 regarding Narcotic Drugs and Psychotropic Substances.</w:t>
      </w:r>
    </w:p>
    <w:p>
      <w:pPr>
        <w:pStyle w:val="BodyText"/>
      </w:pPr>
      <w:r>
        <w:t xml:space="preserve">By accepting this invoice, the client acknowledges receipt of the professional services provided by the</w:t>
      </w:r>
      <w:r>
        <w:t xml:space="preserve"> </w:t>
      </w:r>
      <w:r>
        <w:rPr>
          <w:bCs/>
          <w:b/>
        </w:rPr>
        <w:t xml:space="preserve">Pharmacist</w:t>
      </w:r>
      <w:r>
        <w:t xml:space="preserve"> </w:t>
      </w:r>
      <w:r>
        <w:t xml:space="preserve">and agrees to the terms of payment outlined above. For any disputes regarding the services provided in the</w:t>
      </w:r>
      <w:r>
        <w:t xml:space="preserve"> </w:t>
      </w:r>
      <w:r>
        <w:rPr>
          <w:bCs/>
          <w:b/>
        </w:rPr>
        <w:t xml:space="preserve">United Arab Emirates Dubai</w:t>
      </w:r>
      <w:r>
        <w:t xml:space="preserve">, the parties agree to resolve matters amicably or through the competent courts of Dubai.</w:t>
      </w:r>
    </w:p>
    <w:p>
      <w:pPr>
        <w:pStyle w:val="BodyText"/>
      </w:pPr>
      <w:r>
        <w:rPr>
          <w:bCs/>
          <w:b/>
        </w:rPr>
        <w:t xml:space="preserve">Authorized Signature:</w:t>
      </w:r>
      <w:r>
        <w:br/>
      </w:r>
      <w:r>
        <w:t xml:space="preserve">__________________________</w:t>
      </w:r>
      <w:r>
        <w:br/>
      </w:r>
      <w:r>
        <w:t xml:space="preserve">Dr. Ahmed Al-Mansoori</w:t>
      </w:r>
      <w:r>
        <w:br/>
      </w:r>
      <w:r>
        <w:t xml:space="preserve">Senior Clinical Pharmacist</w:t>
      </w:r>
      <w:r>
        <w:br/>
      </w:r>
      <w:r>
        <w:t xml:space="preserve">Emirates Clinical Pharmacy Services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Pharmacist Invoice - Dubai, UAE</dc:title>
  <dc:creator/>
  <dc:language>en</dc:language>
  <cp:keywords/>
  <dcterms:created xsi:type="dcterms:W3CDTF">2026-10-10T03:47:35Z</dcterms:created>
  <dcterms:modified xsi:type="dcterms:W3CDTF">2026-10-10T03:47:35Z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