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t xml:space="preserve">INVOICE</w:t>
      </w:r>
    </w:p>
    <w:p>
      <w:pPr>
        <w:pStyle w:val="BodyText"/>
      </w:pPr>
      <w:r>
        <w:rPr>
          <w:bCs/>
          <w:b/>
        </w:rPr>
        <w:t xml:space="preserve">Birmingham Professional Pharmacist Services Ltd.</w:t>
      </w:r>
      <w:r>
        <w:br/>
      </w:r>
      <w:r>
        <w:t xml:space="preserve">123 High Street, Birmingham, B1 1AA, United Kingdom</w:t>
      </w:r>
      <w:r>
        <w:br/>
      </w:r>
      <w:r>
        <w:t xml:space="preserve">Phone: +44 121 123 4567</w:t>
      </w:r>
      <w:r>
        <w:br/>
      </w:r>
      <w:r>
        <w:t xml:space="preserve">Email: billing@birminghampharmacist.co.uk</w:t>
      </w:r>
      <w:r>
        <w:br/>
      </w:r>
      <w:r>
        <w:t xml:space="preserve">VAT Registration Number: GB123456789</w:t>
      </w:r>
      <w:r>
        <w:br/>
      </w:r>
      <w:r>
        <w:t xml:space="preserve">Company Registration Number: 12345678</w:t>
      </w:r>
    </w:p>
    <w:p>
      <w:pPr>
        <w:pStyle w:val="BodyText"/>
      </w:pPr>
      <w:r>
        <w:rPr>
          <w:bCs/>
          <w:b/>
        </w:rPr>
        <w:t xml:space="preserve">Billed To:</w:t>
      </w:r>
      <w:r>
        <w:br/>
      </w:r>
      <w:r>
        <w:t xml:space="preserve">Birmingham Healthcare Trust</w:t>
      </w:r>
      <w:r>
        <w:br/>
      </w:r>
      <w:r>
        <w:t xml:space="preserve">456 Medical Centre Road</w:t>
      </w:r>
      <w:r>
        <w:br/>
      </w:r>
      <w:r>
        <w:t xml:space="preserve">Birmingham, B2 2BB, United Kingdom</w:t>
      </w:r>
      <w:r>
        <w:br/>
      </w:r>
      <w:r>
        <w:t xml:space="preserve">Contact: Procurement Department</w:t>
      </w:r>
      <w:r>
        <w:br/>
      </w:r>
      <w:r>
        <w:t xml:space="preserve">Email: procurement@birminghamhealthcare.nhs.uk</w:t>
      </w:r>
    </w:p>
    <w:p>
      <w:pPr>
        <w:pStyle w:val="BodyText"/>
      </w:pPr>
      <w:r>
        <w:rPr>
          <w:bCs/>
          <w:b/>
        </w:rPr>
        <w:t xml:space="preserve">Invoice Number:</w:t>
      </w:r>
      <w:r>
        <w:t xml:space="preserve"> </w:t>
      </w:r>
      <w:r>
        <w:t xml:space="preserve">INV-2023-00123</w:t>
      </w:r>
      <w:r>
        <w:br/>
      </w:r>
      <w:r>
        <w:rPr>
          <w:bCs/>
          <w:b/>
        </w:rPr>
        <w:t xml:space="preserve">Date:</w:t>
      </w:r>
      <w:r>
        <w:t xml:space="preserve"> </w:t>
      </w:r>
      <w:r>
        <w:t xml:space="preserve">October 15, 2023</w:t>
      </w:r>
      <w:r>
        <w:br/>
      </w:r>
      <w:r>
        <w:rPr>
          <w:bCs/>
          <w:b/>
        </w:rPr>
        <w:t xml:space="preserve">Due Date:</w:t>
      </w:r>
      <w:r>
        <w:t xml:space="preserve"> </w:t>
      </w:r>
      <w:r>
        <w:t xml:space="preserve">November 15, 2023</w:t>
      </w:r>
      <w:r>
        <w:br/>
      </w:r>
      <w:r>
        <w:rPr>
          <w:bCs/>
          <w:b/>
        </w:rPr>
        <w:t xml:space="preserve">Payment Terms:</w:t>
      </w:r>
      <w:r>
        <w:t xml:space="preserve"> </w:t>
      </w:r>
      <w:r>
        <w:t xml:space="preserve">Net 30 Days</w:t>
      </w:r>
    </w:p>
    <w:bookmarkStart w:id="20" w:name="Xd59bbcbef481cae356f6e87558a0c59fdd2b4f2"/>
    <w:p>
      <w:pPr>
        <w:pStyle w:val="Heading2"/>
      </w:pPr>
      <w:r>
        <w:t xml:space="preserve">Professional Pharmacist Services Rendered</w:t>
      </w:r>
    </w:p>
    <w:p>
      <w:pPr>
        <w:pStyle w:val="FirstParagraph"/>
      </w:pPr>
      <w:r>
        <w:t xml:space="preserve">This invoice is issued by Birmingham Professional Pharmacist Services Ltd., a registered pharmacy practice located in Birmingham, United Kingdom. The services detailed below were provided in accordance with the standards set by the General Pharmaceutical Council (GPhC) and comply with all relevant regulations governing pharmaceutical practice in the United Kingdom.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Consultation and Medication Review for Chronic Disease Management</w:t>
            </w:r>
          </w:p>
        </w:tc>
        <w:tc>
          <w:tcPr/>
          <w:p>
            <w:pPr>
              <w:pStyle w:val="Compact"/>
              <w:jc w:val="left"/>
            </w:pPr>
            <w:r>
              <w:t xml:space="preserve">10</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Prescription Dispensing and Patient Counseling</w:t>
            </w:r>
          </w:p>
        </w:tc>
        <w:tc>
          <w:tcPr/>
          <w:p>
            <w:pPr>
              <w:pStyle w:val="Compact"/>
              <w:jc w:val="left"/>
            </w:pPr>
            <w:r>
              <w:t xml:space="preserve">50</w:t>
            </w:r>
          </w:p>
        </w:tc>
        <w:tc>
          <w:tcPr/>
          <w:p>
            <w:pPr>
              <w:pStyle w:val="Compact"/>
              <w:jc w:val="left"/>
            </w:pPr>
            <w:r>
              <w:t xml:space="preserve">15.00</w:t>
            </w:r>
          </w:p>
        </w:tc>
        <w:tc>
          <w:tcPr/>
          <w:p>
            <w:pPr>
              <w:pStyle w:val="Compact"/>
              <w:jc w:val="left"/>
            </w:pPr>
            <w:r>
              <w:t xml:space="preserve">750.00</w:t>
            </w:r>
          </w:p>
        </w:tc>
      </w:tr>
      <w:tr>
        <w:tc>
          <w:tcPr/>
          <w:p>
            <w:pPr>
              <w:pStyle w:val="Compact"/>
              <w:jc w:val="left"/>
            </w:pPr>
            <w:r>
              <w:t xml:space="preserve">Vaccination Services (Influenza, Pneumococcal, etc.)</w:t>
            </w:r>
          </w:p>
        </w:tc>
        <w:tc>
          <w:tcPr/>
          <w:p>
            <w:pPr>
              <w:pStyle w:val="Compact"/>
              <w:jc w:val="left"/>
            </w:pPr>
            <w:r>
              <w:t xml:space="preserve">20</w:t>
            </w:r>
          </w:p>
        </w:tc>
        <w:tc>
          <w:tcPr/>
          <w:p>
            <w:pPr>
              <w:pStyle w:val="Compact"/>
              <w:jc w:val="left"/>
            </w:pPr>
            <w:r>
              <w:t xml:space="preserve">30.00</w:t>
            </w:r>
          </w:p>
        </w:tc>
        <w:tc>
          <w:tcPr/>
          <w:p>
            <w:pPr>
              <w:pStyle w:val="Compact"/>
              <w:jc w:val="left"/>
            </w:pPr>
            <w:r>
              <w:t xml:space="preserve">600.00</w:t>
            </w:r>
          </w:p>
        </w:tc>
      </w:tr>
      <w:tr>
        <w:tc>
          <w:tcPr/>
          <w:p>
            <w:pPr>
              <w:pStyle w:val="Compact"/>
              <w:jc w:val="left"/>
            </w:pPr>
            <w:r>
              <w:t xml:space="preserve">Medication Therapy Management for Elderly Patients</w:t>
            </w:r>
          </w:p>
        </w:tc>
        <w:tc>
          <w:tcPr/>
          <w:p>
            <w:pPr>
              <w:pStyle w:val="Compact"/>
              <w:jc w:val="left"/>
            </w:pPr>
            <w:r>
              <w:t xml:space="preserve">5</w:t>
            </w:r>
          </w:p>
        </w:tc>
        <w:tc>
          <w:tcPr/>
          <w:p>
            <w:pPr>
              <w:pStyle w:val="Compact"/>
              <w:jc w:val="left"/>
            </w:pPr>
            <w:r>
              <w:t xml:space="preserve">100.00</w:t>
            </w:r>
          </w:p>
        </w:tc>
        <w:tc>
          <w:tcPr/>
          <w:p>
            <w:pPr>
              <w:pStyle w:val="Compact"/>
              <w:jc w:val="left"/>
            </w:pPr>
            <w:r>
              <w:t xml:space="preserve">500.00</w:t>
            </w:r>
          </w:p>
        </w:tc>
      </w:tr>
      <w:tr>
        <w:tc>
          <w:tcPr/>
          <w:p>
            <w:pPr>
              <w:pStyle w:val="Compact"/>
              <w:jc w:val="left"/>
            </w:pPr>
            <w:r>
              <w:t xml:space="preserve">Home Delivery of Medications within Birmingham Area</w:t>
            </w:r>
          </w:p>
        </w:tc>
        <w:tc>
          <w:tcPr/>
          <w:p>
            <w:pPr>
              <w:pStyle w:val="Compact"/>
              <w:jc w:val="left"/>
            </w:pPr>
            <w:r>
              <w:t xml:space="preserve">15</w:t>
            </w:r>
          </w:p>
        </w:tc>
        <w:tc>
          <w:tcPr/>
          <w:p>
            <w:pPr>
              <w:pStyle w:val="Compact"/>
              <w:jc w:val="left"/>
            </w:pPr>
            <w:r>
              <w:t xml:space="preserve">10.00</w:t>
            </w:r>
          </w:p>
        </w:tc>
        <w:tc>
          <w:tcPr/>
          <w:p>
            <w:pPr>
              <w:pStyle w:val="Compact"/>
              <w:jc w:val="left"/>
            </w:pPr>
            <w:r>
              <w:t xml:space="preserve">150.00</w:t>
            </w:r>
          </w:p>
        </w:tc>
      </w:tr>
      <w:tr>
        <w:tc>
          <w:tcPr/>
          <w:p>
            <w:pPr>
              <w:pStyle w:val="Compact"/>
              <w:jc w:val="left"/>
            </w:pPr>
            <w:r>
              <w:t xml:space="preserve">Specialized Compounding of Medications</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Health Screening Services (Blood Pressure, Cholesterol, etc.)</w:t>
            </w:r>
          </w:p>
        </w:tc>
        <w:tc>
          <w:tcPr/>
          <w:p>
            <w:pPr>
              <w:pStyle w:val="Compact"/>
              <w:jc w:val="left"/>
            </w:pPr>
            <w:r>
              <w:t xml:space="preserve">25</w:t>
            </w:r>
          </w:p>
        </w:tc>
        <w:tc>
          <w:tcPr/>
          <w:p>
            <w:pPr>
              <w:pStyle w:val="Compact"/>
              <w:jc w:val="left"/>
            </w:pPr>
            <w:r>
              <w:t xml:space="preserve">20.00</w:t>
            </w:r>
          </w:p>
        </w:tc>
        <w:tc>
          <w:tcPr/>
          <w:p>
            <w:pPr>
              <w:pStyle w:val="Compact"/>
              <w:jc w:val="left"/>
            </w:pPr>
            <w:r>
              <w:t xml:space="preserve">500.00</w:t>
            </w:r>
          </w:p>
        </w:tc>
      </w:tr>
    </w:tbl>
    <w:p>
      <w:pPr>
        <w:pStyle w:val="BodyText"/>
      </w:pPr>
      <w:r>
        <w:rPr>
          <w:bCs/>
          <w:b/>
        </w:rPr>
        <w:t xml:space="preserve">Subtotal:</w:t>
      </w:r>
      <w:r>
        <w:t xml:space="preserve"> </w:t>
      </w:r>
      <w:r>
        <w:t xml:space="preserve">£3,700.00</w:t>
      </w:r>
      <w:r>
        <w:br/>
      </w:r>
      <w:r>
        <w:rPr>
          <w:bCs/>
          <w:b/>
        </w:rPr>
        <w:t xml:space="preserve">VAT (20%):</w:t>
      </w:r>
      <w:r>
        <w:t xml:space="preserve"> </w:t>
      </w:r>
      <w:r>
        <w:t xml:space="preserve">£740.00</w:t>
      </w:r>
      <w:r>
        <w:br/>
      </w:r>
      <w:r>
        <w:rPr>
          <w:bCs/>
          <w:b/>
        </w:rPr>
        <w:t xml:space="preserve">Total Amount Due:</w:t>
      </w:r>
      <w:r>
        <w:t xml:space="preserve"> </w:t>
      </w:r>
      <w:r>
        <w:t xml:space="preserve">£4,440.00</w:t>
      </w:r>
    </w:p>
    <w:bookmarkEnd w:id="20"/>
    <w:bookmarkStart w:id="21" w:name="payment-instructions"/>
    <w:p>
      <w:pPr>
        <w:pStyle w:val="Heading2"/>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Birmingham City Bank</w:t>
      </w:r>
      <w:r>
        <w:br/>
      </w:r>
      <w:r>
        <w:rPr>
          <w:bCs/>
          <w:b/>
        </w:rPr>
        <w:t xml:space="preserve">Account Name:</w:t>
      </w:r>
      <w:r>
        <w:t xml:space="preserve"> </w:t>
      </w:r>
      <w:r>
        <w:t xml:space="preserve">Birmingham Professional Pharmacist Services Ltd.</w:t>
      </w:r>
      <w:r>
        <w:br/>
      </w:r>
      <w:r>
        <w:rPr>
          <w:bCs/>
          <w:b/>
        </w:rPr>
        <w:t xml:space="preserve">Sort Code:</w:t>
      </w:r>
      <w:r>
        <w:t xml:space="preserve"> </w:t>
      </w:r>
      <w:r>
        <w:t xml:space="preserve">12-34-56</w:t>
      </w:r>
      <w:r>
        <w:br/>
      </w:r>
      <w:r>
        <w:rPr>
          <w:bCs/>
          <w:b/>
        </w:rPr>
        <w:t xml:space="preserve">Account Number:</w:t>
      </w:r>
      <w:r>
        <w:t xml:space="preserve"> </w:t>
      </w:r>
      <w:r>
        <w:t xml:space="preserve">12345678</w:t>
      </w:r>
      <w:r>
        <w:br/>
      </w:r>
      <w:r>
        <w:rPr>
          <w:bCs/>
          <w:b/>
        </w:rPr>
        <w:t xml:space="preserve">IBAN:</w:t>
      </w:r>
      <w:r>
        <w:t xml:space="preserve"> </w:t>
      </w:r>
      <w:r>
        <w:t xml:space="preserve">GB29NWBK60161331926819</w:t>
      </w:r>
      <w:r>
        <w:br/>
      </w:r>
      <w:r>
        <w:rPr>
          <w:bCs/>
          <w:b/>
        </w:rPr>
        <w:t xml:space="preserve">SWIFT/BIC:</w:t>
      </w:r>
      <w:r>
        <w:t xml:space="preserve"> </w:t>
      </w:r>
      <w:r>
        <w:t xml:space="preserve">NWBKGB2L</w:t>
      </w:r>
    </w:p>
    <w:bookmarkEnd w:id="21"/>
    <w:bookmarkStart w:id="22" w:name="terms-and-conditions"/>
    <w:p>
      <w:pPr>
        <w:pStyle w:val="Heading2"/>
      </w:pPr>
      <w:r>
        <w:t xml:space="preserve">Terms and Conditions</w:t>
      </w:r>
    </w:p>
    <w:p>
      <w:pPr>
        <w:pStyle w:val="FirstParagraph"/>
      </w:pPr>
      <w:r>
        <w:t xml:space="preserve">1. Payment is due within 30 days of the invoice date.</w:t>
      </w:r>
      <w:r>
        <w:br/>
      </w:r>
      <w:r>
        <w:t xml:space="preserve">2. Late payments may incur a penalty interest charge of 4% above the Bank of England base rate.</w:t>
      </w:r>
      <w:r>
        <w:br/>
      </w:r>
      <w:r>
        <w:t xml:space="preserve">3. All services are provided in accordance with the standards set by the General Pharmaceutical Council (GPhC).</w:t>
      </w:r>
      <w:r>
        <w:br/>
      </w:r>
      <w:r>
        <w:t xml:space="preserve">4. This invoice is valid for services rendered in Birmingham, United Kingdom, and complies with local and national regulations.</w:t>
      </w:r>
      <w:r>
        <w:br/>
      </w:r>
      <w:r>
        <w:t xml:space="preserve">5. Any disputes regarding this invoice must be raised within 14 days of receipt.</w:t>
      </w:r>
    </w:p>
    <w:p>
      <w:pPr>
        <w:pStyle w:val="BodyText"/>
      </w:pPr>
      <w:r>
        <w:t xml:space="preserve">Thank you for choosing Birmingham Professional Pharmacist Services Ltd. for your healthcare needs. We are committed to providing high-quality pharmaceutical services to the community of Birmingham, United Kingdom. If you have any questions or concerns regarding this invoice, please do not hesitate to contact us at billing@birminghampharmacist.co.uk or call us at +44 121 123 4567.</w:t>
      </w:r>
    </w:p>
    <w:p>
      <w:pPr>
        <w:pStyle w:val="BodyText"/>
      </w:pPr>
      <w:r>
        <w:t xml:space="preserve">This document serves as an official record of the transaction and is issued in compliance with the financial and regulatory requirements of the United Kingdom.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Birmingham, United Kingdom</dc:title>
  <dc:creator/>
  <dc:language>en</dc:language>
  <cp:keywords/>
  <dcterms:created xsi:type="dcterms:W3CDTF">2026-10-10T07:00:14Z</dcterms:created>
  <dcterms:modified xsi:type="dcterms:W3CDTF">2026-10-10T07:00:14Z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