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london-central-pharmacy-services"/>
    <w:p>
      <w:pPr>
        <w:pStyle w:val="Heading1"/>
      </w:pPr>
      <w:r>
        <w:t xml:space="preserve">London Central Pharmacy Services</w:t>
      </w:r>
    </w:p>
    <w:p>
      <w:pPr>
        <w:pStyle w:val="FirstParagraph"/>
      </w:pPr>
      <w:r>
        <w:t xml:space="preserve">Registered Pharmacist &amp; Healthcare Provider</w:t>
      </w:r>
    </w:p>
    <w:p>
      <w:pPr>
        <w:pStyle w:val="BodyText"/>
      </w:pPr>
      <w:r>
        <w:t xml:space="preserve">123 High Street, Westminster</w:t>
      </w:r>
    </w:p>
    <w:p>
      <w:pPr>
        <w:pStyle w:val="BodyText"/>
      </w:pPr>
      <w:r>
        <w:t xml:space="preserve">London, United Kingdom, SW1A 1AA</w:t>
      </w:r>
    </w:p>
    <w:p>
      <w:pPr>
        <w:pStyle w:val="BodyText"/>
      </w:pPr>
      <w:r>
        <w:t xml:space="preserve">Phone: +44 (0)20 7946 0958</w:t>
      </w:r>
    </w:p>
    <w:p>
      <w:pPr>
        <w:pStyle w:val="BodyText"/>
      </w:pPr>
      <w:r>
        <w:t xml:space="preserve">Email: accounts@londoncentralpharmacy.co.uk</w:t>
      </w:r>
    </w:p>
    <w:p>
      <w:pPr>
        <w:pStyle w:val="BodyText"/>
      </w:pPr>
      <w:r>
        <w:t xml:space="preserve">GPhC Registration No: 1234567</w:t>
      </w:r>
    </w:p>
    <w:p>
      <w:pPr>
        <w:pStyle w:val="BodyText"/>
      </w:pPr>
      <w:r>
        <w:t xml:space="preserve">Company Registration No: 12345678</w:t>
      </w:r>
    </w:p>
    <w:p>
      <w:pPr>
        <w:pStyle w:val="BodyText"/>
      </w:pPr>
      <w:r>
        <w:t xml:space="preserve">VAT Registration No: GB 123 4567 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15th October 2024</w:t>
      </w:r>
    </w:p>
    <w:p>
      <w:pPr>
        <w:pStyle w:val="BodyText"/>
      </w:pPr>
      <w:r>
        <w:rPr>
          <w:bCs/>
          <w:b/>
        </w:rPr>
        <w:t xml:space="preserve">Due Date:</w:t>
      </w:r>
      <w:r>
        <w:t xml:space="preserve"> </w:t>
      </w:r>
      <w:r>
        <w:t xml:space="preserve">15th November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Westminster Health Authority</w:t>
      </w:r>
    </w:p>
    <w:p>
      <w:pPr>
        <w:pStyle w:val="BodyText"/>
      </w:pPr>
      <w:r>
        <w:t xml:space="preserve">Procurement Department</w:t>
      </w:r>
    </w:p>
    <w:p>
      <w:pPr>
        <w:pStyle w:val="BodyText"/>
      </w:pPr>
      <w:r>
        <w:t xml:space="preserve">45 Victoria Street</w:t>
      </w:r>
    </w:p>
    <w:p>
      <w:pPr>
        <w:pStyle w:val="BodyText"/>
      </w:pPr>
      <w:r>
        <w:t xml:space="preserve">London, United Kingdom, SW1H 0EU</w:t>
      </w:r>
    </w:p>
    <w:p>
      <w:pPr>
        <w:pStyle w:val="BodyText"/>
      </w:pPr>
      <w:r>
        <w:t xml:space="preserve">Attn: Dr. Sarah Mitchell, Chief Medical Officer</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Professional Pharmacist Consultation Services - Comprehensive medication review and management for elderly patients in Westminster district. Includes detailed analysis of polypharmacy cases, drug interaction assessments, and personalised treatment plan recommendations in accordance with NHS guidelines and GPhC standards.</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Medicines Use Review (MUR) Sessions - Structured consultations conducted by qualified Pharmacist to optimise medication effectiveness, improve patient adherence, and reduce adverse drug reactions. Each session includes documentation and reporting to prescribing physicians as required by United Kingdom London healthcare protocols.</w:t>
            </w:r>
          </w:p>
        </w:tc>
        <w:tc>
          <w:tcPr/>
          <w:p>
            <w:pPr>
              <w:pStyle w:val="Compact"/>
              <w:jc w:val="left"/>
            </w:pPr>
            <w:r>
              <w:t xml:space="preserve">60</w:t>
            </w:r>
          </w:p>
        </w:tc>
        <w:tc>
          <w:tcPr/>
          <w:p>
            <w:pPr>
              <w:pStyle w:val="Compact"/>
              <w:jc w:val="left"/>
            </w:pPr>
            <w:r>
              <w:t xml:space="preserve">45.00</w:t>
            </w:r>
          </w:p>
        </w:tc>
        <w:tc>
          <w:tcPr/>
          <w:p>
            <w:pPr>
              <w:pStyle w:val="Compact"/>
              <w:jc w:val="left"/>
            </w:pPr>
            <w:r>
              <w:t xml:space="preserve">2,700.00</w:t>
            </w:r>
          </w:p>
        </w:tc>
      </w:tr>
      <w:tr>
        <w:tc>
          <w:tcPr/>
          <w:p>
            <w:pPr>
              <w:pStyle w:val="Compact"/>
              <w:jc w:val="left"/>
            </w:pPr>
            <w:r>
              <w:t xml:space="preserve">Chronic Disease Management Programme - Specialised Pharmacist-led intervention for patients with diabetes, hypertension, and cardiovascular conditions. Includes regular monitoring, medication adjustments, patient education, and coordination with multidisciplinary teams across London healthcare facilities.</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Antibiotic Stewardship Consultation - Expert Pharmacist guidance on appropriate antibiotic prescribing, resistance pattern analysis, and implementation of stewardship protocols within the healthcare facility. Aligned with Public Health England and United Kingdom London antimicrobial resistance strategies.</w:t>
            </w:r>
          </w:p>
        </w:tc>
        <w:tc>
          <w:tcPr/>
          <w:p>
            <w:pPr>
              <w:pStyle w:val="Compact"/>
              <w:jc w:val="left"/>
            </w:pPr>
            <w:r>
              <w:t xml:space="preserve">15</w:t>
            </w:r>
          </w:p>
        </w:tc>
        <w:tc>
          <w:tcPr/>
          <w:p>
            <w:pPr>
              <w:pStyle w:val="Compact"/>
              <w:jc w:val="left"/>
            </w:pPr>
            <w:r>
              <w:t xml:space="preserve">150.00</w:t>
            </w:r>
          </w:p>
        </w:tc>
        <w:tc>
          <w:tcPr/>
          <w:p>
            <w:pPr>
              <w:pStyle w:val="Compact"/>
              <w:jc w:val="left"/>
            </w:pPr>
            <w:r>
              <w:t xml:space="preserve">2,250.00</w:t>
            </w:r>
          </w:p>
        </w:tc>
      </w:tr>
      <w:tr>
        <w:tc>
          <w:tcPr/>
          <w:p>
            <w:pPr>
              <w:pStyle w:val="Compact"/>
              <w:jc w:val="left"/>
            </w:pPr>
            <w:r>
              <w:t xml:space="preserve">Pharmacist-Led Vaccination Services - Administration and documentation of flu, pneumonia, and travel vaccines. Includes patient assessment, contraindication screening, and post-vaccination monitoring in compliance with United Kingdom London immunisation schedules and regulatory requirements.</w:t>
            </w:r>
          </w:p>
        </w:tc>
        <w:tc>
          <w:tcPr/>
          <w:p>
            <w:pPr>
              <w:pStyle w:val="Compact"/>
              <w:jc w:val="left"/>
            </w:pPr>
            <w:r>
              <w:t xml:space="preserve">200</w:t>
            </w:r>
          </w:p>
        </w:tc>
        <w:tc>
          <w:tcPr/>
          <w:p>
            <w:pPr>
              <w:pStyle w:val="Compact"/>
              <w:jc w:val="left"/>
            </w:pPr>
            <w:r>
              <w:t xml:space="preserve">12.50</w:t>
            </w:r>
          </w:p>
        </w:tc>
        <w:tc>
          <w:tcPr/>
          <w:p>
            <w:pPr>
              <w:pStyle w:val="Compact"/>
              <w:jc w:val="left"/>
            </w:pPr>
            <w:r>
              <w:t xml:space="preserve">2,500.00</w:t>
            </w:r>
          </w:p>
        </w:tc>
      </w:tr>
      <w:tr>
        <w:tc>
          <w:tcPr/>
          <w:p>
            <w:pPr>
              <w:pStyle w:val="Compact"/>
              <w:jc w:val="left"/>
            </w:pPr>
            <w:r>
              <w:t xml:space="preserve">Emergency Medication Supply &amp; Clinical Assessment - Urgent Pharmacist evaluation and supply of essential medications during after-hours periods. Includes clinical judgment, patient history review, and coordination with on-call physicians to ensure continuity of care for patients in the London metropolitan area.</w:t>
            </w:r>
          </w:p>
        </w:tc>
        <w:tc>
          <w:tcPr/>
          <w:p>
            <w:pPr>
              <w:pStyle w:val="Compact"/>
              <w:jc w:val="left"/>
            </w:pPr>
            <w:r>
              <w:t xml:space="preserve">30</w:t>
            </w:r>
          </w:p>
        </w:tc>
        <w:tc>
          <w:tcPr/>
          <w:p>
            <w:pPr>
              <w:pStyle w:val="Compact"/>
              <w:jc w:val="left"/>
            </w:pPr>
            <w:r>
              <w:t xml:space="preserve">75.00</w:t>
            </w:r>
          </w:p>
        </w:tc>
        <w:tc>
          <w:tcPr/>
          <w:p>
            <w:pPr>
              <w:pStyle w:val="Compact"/>
              <w:jc w:val="left"/>
            </w:pPr>
            <w:r>
              <w:t xml:space="preserve">2,250.00</w:t>
            </w:r>
          </w:p>
        </w:tc>
      </w:tr>
      <w:tr>
        <w:tc>
          <w:tcPr/>
          <w:p>
            <w:pPr>
              <w:pStyle w:val="Compact"/>
              <w:jc w:val="left"/>
            </w:pPr>
            <w:r>
              <w:t xml:space="preserve">Staff Training &amp; Education - Comprehensive training sessions for healthcare staff on medication safety, new drug therapies, and regulatory updates. Delivered by senior Pharmacist with expertise in United Kingdom London healthcare standards and best practices.</w:t>
            </w:r>
          </w:p>
        </w:tc>
        <w:tc>
          <w:tcPr/>
          <w:p>
            <w:pPr>
              <w:pStyle w:val="Compact"/>
              <w:jc w:val="left"/>
            </w:pPr>
            <w:r>
              <w:t xml:space="preserve">5</w:t>
            </w:r>
          </w:p>
        </w:tc>
        <w:tc>
          <w:tcPr/>
          <w:p>
            <w:pPr>
              <w:pStyle w:val="Compact"/>
              <w:jc w:val="left"/>
            </w:pPr>
            <w:r>
              <w:t xml:space="preserve">400.00</w:t>
            </w:r>
          </w:p>
        </w:tc>
        <w:tc>
          <w:tcPr/>
          <w:p>
            <w:pPr>
              <w:pStyle w:val="Compact"/>
              <w:jc w:val="left"/>
            </w:pPr>
            <w:r>
              <w:t xml:space="preserve">2,000.00</w:t>
            </w:r>
          </w:p>
        </w:tc>
      </w:tr>
      <w:tr>
        <w:tc>
          <w:tcPr/>
          <w:p>
            <w:pPr>
              <w:pStyle w:val="Compact"/>
              <w:jc w:val="left"/>
            </w:pPr>
            <w:r>
              <w:t xml:space="preserve">Regulatory Compliance Audit - Detailed review of pharmacy operations, record-keeping, and medication storage practices. Ensures full compliance with GPhC standards, Medicines Act 1968, and United Kingdom London local authority requirements.</w:t>
            </w:r>
          </w:p>
        </w:tc>
        <w:tc>
          <w:tcPr/>
          <w:p>
            <w:pPr>
              <w:pStyle w:val="Compact"/>
              <w:jc w:val="left"/>
            </w:pPr>
            <w:r>
              <w:t xml:space="preserve">2</w:t>
            </w:r>
          </w:p>
        </w:tc>
        <w:tc>
          <w:tcPr/>
          <w:p>
            <w:pPr>
              <w:pStyle w:val="Compact"/>
              <w:jc w:val="left"/>
            </w:pPr>
            <w:r>
              <w:t xml:space="preserve">600.00</w:t>
            </w:r>
          </w:p>
        </w:tc>
        <w:tc>
          <w:tcPr/>
          <w:p>
            <w:pPr>
              <w:pStyle w:val="Compact"/>
              <w:jc w:val="left"/>
            </w:pPr>
            <w:r>
              <w:t xml:space="preserve">1,200.00</w:t>
            </w:r>
          </w:p>
        </w:tc>
      </w:tr>
    </w:tbl>
    <w:p>
      <w:pPr>
        <w:pStyle w:val="BodyText"/>
      </w:pPr>
      <w:r>
        <w:t xml:space="preserve">Subtotal:</w:t>
      </w:r>
      <w:r>
        <w:t xml:space="preserve"> </w:t>
      </w:r>
      <w:r>
        <w:t xml:space="preserve">£19,300.00</w:t>
      </w:r>
    </w:p>
    <w:p>
      <w:pPr>
        <w:pStyle w:val="BodyText"/>
      </w:pPr>
      <w:r>
        <w:t xml:space="preserve">VAT (20%):</w:t>
      </w:r>
      <w:r>
        <w:t xml:space="preserve"> </w:t>
      </w:r>
      <w:r>
        <w:t xml:space="preserve">£3,860.00</w:t>
      </w:r>
    </w:p>
    <w:p>
      <w:pPr>
        <w:pStyle w:val="BodyText"/>
      </w:pPr>
      <w:r>
        <w:t xml:space="preserve">Total Amount Due:</w:t>
      </w:r>
      <w:r>
        <w:t xml:space="preserve"> </w:t>
      </w:r>
      <w:r>
        <w:t xml:space="preserve">£23,160.00</w:t>
      </w:r>
    </w:p>
    <w:bookmarkStart w:id="23"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Barclays Bank PLC</w:t>
      </w:r>
    </w:p>
    <w:p>
      <w:pPr>
        <w:pStyle w:val="BodyText"/>
      </w:pPr>
      <w:r>
        <w:rPr>
          <w:bCs/>
          <w:b/>
        </w:rPr>
        <w:t xml:space="preserve">Account Name:</w:t>
      </w:r>
      <w:r>
        <w:t xml:space="preserve"> </w:t>
      </w:r>
      <w:r>
        <w:t xml:space="preserve">London Central Pharmacy Services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IBAN:</w:t>
      </w:r>
      <w:r>
        <w:t xml:space="preserve"> </w:t>
      </w:r>
      <w:r>
        <w:t xml:space="preserve">GB29 BARC 2000 0012 3456 78</w:t>
      </w:r>
    </w:p>
    <w:p>
      <w:pPr>
        <w:pStyle w:val="BodyText"/>
      </w:pPr>
      <w:r>
        <w:rPr>
          <w:bCs/>
          <w:b/>
        </w:rPr>
        <w:t xml:space="preserve">Reference:</w:t>
      </w:r>
      <w:r>
        <w:t xml:space="preserve"> </w:t>
      </w:r>
      <w:r>
        <w:t xml:space="preserve">INV-2024-0892</w:t>
      </w:r>
    </w:p>
    <w:bookmarkEnd w:id="23"/>
    <w:bookmarkStart w:id="24" w:name="important-notes"/>
    <w:p>
      <w:pPr>
        <w:pStyle w:val="Heading4"/>
      </w:pPr>
      <w:r>
        <w:t xml:space="preserve">Important Notes:</w:t>
      </w:r>
    </w:p>
    <w:p>
      <w:pPr>
        <w:pStyle w:val="FirstParagraph"/>
      </w:pPr>
      <w:r>
        <w:t xml:space="preserve">All services provided by qualified Pharmacist registered with the General Pharmaceutical Council (GPhC) and operating in full compliance with United Kingdom London healthcare regulations. Late payments will incur interest at 4% above Bank of England base rate. Please contact our accounts department for any queries regarding this Invoice.</w:t>
      </w:r>
    </w:p>
    <w:bookmarkEnd w:id="24"/>
    <w:p>
      <w:pPr>
        <w:pStyle w:val="BodyText"/>
      </w:pPr>
      <w:r>
        <w:t xml:space="preserve">London Central Pharmacy Services Ltd | Registered in England &amp; Wales | Company No: 12345678</w:t>
      </w:r>
    </w:p>
    <w:p>
      <w:pPr>
        <w:pStyle w:val="BodyText"/>
      </w:pPr>
      <w:r>
        <w:t xml:space="preserve">This Invoice is issued in accordance with United Kingdom London commercial and healthcare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United Kingdom London</dc:title>
  <dc:creator/>
  <dc:language>en</dc:language>
  <cp:keywords/>
  <dcterms:created xsi:type="dcterms:W3CDTF">2026-10-10T04:25:45Z</dcterms:created>
  <dcterms:modified xsi:type="dcterms:W3CDTF">2026-10-10T04:25:45Z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