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clinical-pharmacy-services"/>
    <w:p>
      <w:pPr>
        <w:pStyle w:val="Heading1"/>
      </w:pPr>
      <w:r>
        <w:t xml:space="preserve">Manchester Clinical Pharmacy Services</w:t>
      </w:r>
    </w:p>
    <w:p>
      <w:pPr>
        <w:pStyle w:val="FirstParagraph"/>
      </w:pPr>
      <w:r>
        <w:rPr>
          <w:bCs/>
          <w:b/>
        </w:rPr>
        <w:t xml:space="preserve">Registered Pharmacist:</w:t>
      </w:r>
      <w:r>
        <w:t xml:space="preserve"> </w:t>
      </w:r>
      <w:r>
        <w:t xml:space="preserve">Dr. Sarah Jenkins, MPharm, RPh</w:t>
      </w:r>
    </w:p>
    <w:p>
      <w:pPr>
        <w:pStyle w:val="BodyText"/>
      </w:pPr>
      <w:r>
        <w:t xml:space="preserve">123 Deansgate, Manchester, M3 2BQ</w:t>
      </w:r>
    </w:p>
    <w:p>
      <w:pPr>
        <w:pStyle w:val="BodyText"/>
      </w:pPr>
      <w:r>
        <w:t xml:space="preserve">United Kingdom</w:t>
      </w:r>
    </w:p>
    <w:p>
      <w:pPr>
        <w:pStyle w:val="BodyText"/>
      </w:pPr>
      <w:r>
        <w:t xml:space="preserve">Phone: +44 (0)161 555 0199</w:t>
      </w:r>
    </w:p>
    <w:p>
      <w:pPr>
        <w:pStyle w:val="BodyText"/>
      </w:pPr>
      <w:r>
        <w:t xml:space="preserve">Email: billing@manchesterclinicalpharmacy.co.uk</w:t>
      </w:r>
    </w:p>
    <w:p>
      <w:pPr>
        <w:pStyle w:val="BodyText"/>
      </w:pPr>
      <w:r>
        <w:t xml:space="preserve">GPhC Registration No: 3012345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NHS Contract / Private Consultation</w:t>
      </w:r>
    </w:p>
    <w:bookmarkEnd w:id="21"/>
    <w:bookmarkStart w:id="22" w:name="bill-to"/>
    <w:p>
      <w:pPr>
        <w:pStyle w:val="Heading3"/>
      </w:pPr>
      <w:r>
        <w:t xml:space="preserve">Bill To:</w:t>
      </w:r>
    </w:p>
    <w:p>
      <w:pPr>
        <w:pStyle w:val="FirstParagraph"/>
      </w:pPr>
      <w:r>
        <w:rPr>
          <w:bCs/>
          <w:b/>
        </w:rPr>
        <w:t xml:space="preserve">Manchester University NHS Foundation Trust</w:t>
      </w:r>
    </w:p>
    <w:p>
      <w:pPr>
        <w:pStyle w:val="BodyText"/>
      </w:pPr>
      <w:r>
        <w:t xml:space="preserve">Procurement Department</w:t>
      </w:r>
    </w:p>
    <w:p>
      <w:pPr>
        <w:pStyle w:val="BodyText"/>
      </w:pPr>
      <w:r>
        <w:t xml:space="preserve">Oxford Road</w:t>
      </w:r>
    </w:p>
    <w:p>
      <w:pPr>
        <w:pStyle w:val="BodyText"/>
      </w:pPr>
      <w:r>
        <w:t xml:space="preserve">Manchester, M13 9WL</w:t>
      </w:r>
    </w:p>
    <w:p>
      <w:pPr>
        <w:pStyle w:val="BodyText"/>
      </w:pPr>
      <w:r>
        <w:t xml:space="preserve">United Kingdom</w:t>
      </w:r>
    </w:p>
    <w:bookmarkEnd w:id="22"/>
    <w:bookmarkStart w:id="23" w:name="service-location"/>
    <w:p>
      <w:pPr>
        <w:pStyle w:val="Heading3"/>
      </w:pPr>
      <w:r>
        <w:t xml:space="preserve">Service Location:</w:t>
      </w:r>
    </w:p>
    <w:p>
      <w:pPr>
        <w:pStyle w:val="FirstParagraph"/>
      </w:pPr>
      <w:r>
        <w:t xml:space="preserve">Consultations provided at:</w:t>
      </w:r>
    </w:p>
    <w:p>
      <w:pPr>
        <w:pStyle w:val="BodyText"/>
      </w:pPr>
      <w:r>
        <w:t xml:space="preserve">Manchester Royal Infirmary</w:t>
      </w:r>
    </w:p>
    <w:p>
      <w:pPr>
        <w:pStyle w:val="BodyText"/>
      </w:pPr>
      <w:r>
        <w:t xml:space="preserve">Oxford Road, Manchester</w:t>
      </w:r>
    </w:p>
    <w:p>
      <w:pPr>
        <w:pStyle w:val="BodyText"/>
      </w:pPr>
      <w:r>
        <w:t xml:space="preserve">United Kingdom</w:t>
      </w:r>
    </w:p>
    <w:p>
      <w:pPr>
        <w:pStyle w:val="BodyText"/>
      </w:pPr>
      <w:r>
        <w:rPr>
          <w:iCs/>
          <w:i/>
        </w:rPr>
        <w:t xml:space="preserve">Services rendered in accordance with UK Medicines Act 1968.</w:t>
      </w:r>
    </w:p>
    <w:bookmarkEnd w:id="23"/>
    <w:bookmarkStart w:id="25" w:name="Xd59bbcbef481cae356f6e87558a0c59fdd2b4f2"/>
    <w:p>
      <w:pPr>
        <w:pStyle w:val="Heading3"/>
      </w:pPr>
      <w:r>
        <w:t xml:space="preserve">Professional Pharmacist Services Rendered</w:t>
      </w:r>
    </w:p>
    <w:p>
      <w:pPr>
        <w:pStyle w:val="FirstParagraph"/>
      </w:pPr>
      <w:r>
        <w:t xml:space="preserve">The following invoice details the professional services provided by a qualified Pharmacist registered with the General Pharmaceutical Council (GPhC). These services were executed within the jurisdiction of Manchester, United Kingdom, adhering to strict clinical governance and regulatory standards required for pharmaceutical care in the UK healthcare system.</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Clinical Medication Review (CMR)</w:t>
            </w:r>
            <w:r>
              <w:br/>
            </w:r>
            <w:r>
              <w:t xml:space="preserve">Comprehensive review of patient medication profiles to ensure safety, efficacy, and adherence. Conducted by a senior Pharmacist in Manchester. Includes interaction checks and dosage optimisation.</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Specialised Compounding Services</w:t>
            </w:r>
            <w:r>
              <w:br/>
            </w:r>
            <w:r>
              <w:t xml:space="preserve">Preparation of bespoke pharmaceutical formulations not commercially available. Strict adherence to UK Good Manufacturing Practice (GMP) guidelines within the Manchester facility.</w:t>
            </w:r>
          </w:p>
        </w:tc>
        <w:tc>
          <w:tcPr/>
          <w:p>
            <w:pPr>
              <w:pStyle w:val="Compact"/>
              <w:jc w:val="left"/>
            </w:pPr>
            <w:r>
              <w:t xml:space="preserve">5</w:t>
            </w:r>
          </w:p>
        </w:tc>
        <w:tc>
          <w:tcPr/>
          <w:p>
            <w:pPr>
              <w:pStyle w:val="Compact"/>
              <w:jc w:val="left"/>
            </w:pPr>
            <w:r>
              <w:t xml:space="preserve">200.00</w:t>
            </w:r>
          </w:p>
        </w:tc>
        <w:tc>
          <w:tcPr/>
          <w:p>
            <w:pPr>
              <w:pStyle w:val="Compact"/>
              <w:jc w:val="left"/>
            </w:pPr>
            <w:r>
              <w:t xml:space="preserve">1,000.00</w:t>
            </w:r>
          </w:p>
        </w:tc>
      </w:tr>
      <w:tr>
        <w:tc>
          <w:tcPr/>
          <w:p>
            <w:pPr>
              <w:pStyle w:val="Compact"/>
              <w:jc w:val="left"/>
            </w:pPr>
            <w:r>
              <w:t xml:space="preserve">3</w:t>
            </w:r>
          </w:p>
        </w:tc>
        <w:tc>
          <w:tcPr/>
          <w:p>
            <w:pPr>
              <w:pStyle w:val="Compact"/>
              <w:jc w:val="left"/>
            </w:pPr>
            <w:r>
              <w:rPr>
                <w:bCs/>
                <w:b/>
              </w:rPr>
              <w:t xml:space="preserve">Pharmacist-Led Patient Education</w:t>
            </w:r>
            <w:r>
              <w:br/>
            </w:r>
            <w:r>
              <w:t xml:space="preserve">One-on-one counselling sessions regarding complex medication regimens, side effect management, and lifestyle adjustments. Essential for patient compliance in the UK healthcare framework.</w:t>
            </w:r>
          </w:p>
        </w:tc>
        <w:tc>
          <w:tcPr/>
          <w:p>
            <w:pPr>
              <w:pStyle w:val="Compact"/>
              <w:jc w:val="left"/>
            </w:pPr>
            <w:r>
              <w:t xml:space="preserve">20</w:t>
            </w:r>
          </w:p>
        </w:tc>
        <w:tc>
          <w:tcPr/>
          <w:p>
            <w:pPr>
              <w:pStyle w:val="Compact"/>
              <w:jc w:val="left"/>
            </w:pPr>
            <w:r>
              <w:t xml:space="preserve">75.00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Inventory Management &amp; Stock Control</w:t>
            </w:r>
            <w:r>
              <w:br/>
            </w:r>
            <w:r>
              <w:t xml:space="preserve">Audit and management of controlled drugs and general pharmaceutical stock. Ensuring compliance with the Misuse of Drugs Regulations 2001 (UK).</w:t>
            </w:r>
          </w:p>
        </w:tc>
        <w:tc>
          <w:tcPr/>
          <w:p>
            <w:pPr>
              <w:pStyle w:val="Compact"/>
              <w:jc w:val="left"/>
            </w:pPr>
            <w:r>
              <w:t xml:space="preserve">8</w:t>
            </w:r>
          </w:p>
        </w:tc>
        <w:tc>
          <w:tcPr/>
          <w:p>
            <w:pPr>
              <w:pStyle w:val="Compact"/>
              <w:jc w:val="left"/>
            </w:pPr>
            <w:r>
              <w:t xml:space="preserve">100.00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Consultancy on Pharmacovigilance</w:t>
            </w:r>
            <w:r>
              <w:br/>
            </w:r>
            <w:r>
              <w:t xml:space="preserve">Reporting and analysis of adverse drug reactions (ADRs) to the MHRA (Medicines and Healthcare products Regulatory Agency). Critical for maintaining public safety standards in Manchester.</w:t>
            </w:r>
          </w:p>
        </w:tc>
        <w:tc>
          <w:tcPr/>
          <w:p>
            <w:pPr>
              <w:pStyle w:val="Compact"/>
              <w:jc w:val="left"/>
            </w:pPr>
            <w:r>
              <w:t xml:space="preserve">4</w:t>
            </w:r>
          </w:p>
        </w:tc>
        <w:tc>
          <w:tcPr/>
          <w:p>
            <w:pPr>
              <w:pStyle w:val="Compact"/>
              <w:jc w:val="left"/>
            </w:pPr>
            <w:r>
              <w:t xml:space="preserve">175.00</w:t>
            </w:r>
          </w:p>
        </w:tc>
        <w:tc>
          <w:tcPr/>
          <w:p>
            <w:pPr>
              <w:pStyle w:val="Compact"/>
              <w:jc w:val="left"/>
            </w:pPr>
            <w:r>
              <w:t xml:space="preserve">700.00</w:t>
            </w:r>
          </w:p>
        </w:tc>
      </w:tr>
    </w:tbl>
    <w:p>
      <w:pPr>
        <w:pStyle w:val="BodyText"/>
      </w:pPr>
      <w:r>
        <w:t xml:space="preserve">Subtotal:</w:t>
      </w:r>
      <w:r>
        <w:t xml:space="preserve"> </w:t>
      </w:r>
      <w:r>
        <w:t xml:space="preserve">£5,500.00</w:t>
      </w:r>
    </w:p>
    <w:p>
      <w:pPr>
        <w:pStyle w:val="BodyText"/>
      </w:pPr>
      <w:r>
        <w:t xml:space="preserve">VAT (20%):</w:t>
      </w:r>
      <w:r>
        <w:t xml:space="preserve"> </w:t>
      </w:r>
      <w:r>
        <w:t xml:space="preserve">£1,100.00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£6,600.00</w:t>
      </w:r>
    </w:p>
    <w:bookmarkStart w:id="24" w:name="payment-instructions-terms"/>
    <w:p>
      <w:pPr>
        <w:pStyle w:val="Heading4"/>
      </w:pPr>
      <w:r>
        <w:t xml:space="preserve">Payment Instructions &amp; Terms</w:t>
      </w:r>
    </w:p>
    <w:p>
      <w:pPr>
        <w:pStyle w:val="FirstParagraph"/>
      </w:pPr>
      <w:r>
        <w:rPr>
          <w:bCs/>
          <w:b/>
        </w:rPr>
        <w:t xml:space="preserve">Bank Transfer Details:</w:t>
      </w:r>
    </w:p>
    <w:p>
      <w:pPr>
        <w:pStyle w:val="BodyText"/>
      </w:pPr>
      <w:r>
        <w:t xml:space="preserve">Bank Name: Barclays Bank UK PLC</w:t>
      </w:r>
    </w:p>
    <w:p>
      <w:pPr>
        <w:pStyle w:val="BodyText"/>
      </w:pPr>
      <w:r>
        <w:t xml:space="preserve">Account Name: Manchester Clinical Pharmacy Services Ltd</w:t>
      </w:r>
    </w:p>
    <w:p>
      <w:pPr>
        <w:pStyle w:val="BodyText"/>
      </w:pPr>
      <w:r>
        <w:t xml:space="preserve">Sort Code: 20-00-00</w:t>
      </w:r>
    </w:p>
    <w:p>
      <w:pPr>
        <w:pStyle w:val="BodyText"/>
      </w:pPr>
      <w:r>
        <w:t xml:space="preserve">Account Number: 12345678</w:t>
      </w:r>
    </w:p>
    <w:p>
      <w:pPr>
        <w:pStyle w:val="BodyText"/>
      </w:pPr>
      <w:r>
        <w:t xml:space="preserve">IBAN: GB29 BARC 2000 0012 3456 78</w:t>
      </w:r>
    </w:p>
    <w:p>
      <w:pPr>
        <w:pStyle w:val="BodyText"/>
      </w:pPr>
      <w:r>
        <w:t xml:space="preserve">BIC/SWIFT: BARCGB22</w:t>
      </w:r>
    </w:p>
    <w:p>
      <w:pPr>
        <w:pStyle w:val="BodyText"/>
      </w:pPr>
      <w:r>
        <w:br/>
      </w:r>
    </w:p>
    <w:p>
      <w:pPr>
        <w:pStyle w:val="BodyText"/>
      </w:pPr>
      <w:r>
        <w:rPr>
          <w:bCs/>
          <w:b/>
        </w:rPr>
        <w:t xml:space="preserve">Terms:</w:t>
      </w:r>
    </w:p>
    <w:p>
      <w:pPr>
        <w:pStyle w:val="BodyText"/>
      </w:pPr>
      <w:r>
        <w:t xml:space="preserve">Payment is due within 30 days of the invoice date. Please quote the Invoice Number (INV-2023-10-045) in the payment reference. Late payments may incur interest charges in accordance with the Late Payment of Commercial Debts (Interest) Act 1998.</w:t>
      </w:r>
    </w:p>
    <w:p>
      <w:pPr>
        <w:pStyle w:val="BodyText"/>
      </w:pPr>
      <w:r>
        <w:t xml:space="preserve">This invoice represents professional services rendered by a qualified Pharmacist in Manchester, United Kingdom. All services comply with the standards set by the General Pharmaceutical Council (GPhC).</w:t>
      </w:r>
    </w:p>
    <w:bookmarkEnd w:id="24"/>
    <w:p>
      <w:pPr>
        <w:pStyle w:val="BodyText"/>
      </w:pPr>
      <w:r>
        <w:rPr>
          <w:bCs/>
          <w:b/>
        </w:rPr>
        <w:t xml:space="preserve">Authorised By:</w:t>
      </w:r>
    </w:p>
    <w:p>
      <w:pPr>
        <w:pStyle w:val="BodyText"/>
      </w:pPr>
      <w:r>
        <w:t xml:space="preserve">Dr. Sarah Jenkins</w:t>
      </w:r>
    </w:p>
    <w:p>
      <w:pPr>
        <w:pStyle w:val="BodyText"/>
      </w:pPr>
      <w:r>
        <w:t xml:space="preserve">Lead Pharmacist</w:t>
      </w:r>
    </w:p>
    <w:p>
      <w:pPr>
        <w:pStyle w:val="BodyText"/>
      </w:pPr>
      <w:r>
        <w:t xml:space="preserve">Manchester Clinical Pharmacy Services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Manchester Clinical Pharmacy Services Ltd | Registered in England &amp; Wales No. 12345678</w:t>
      </w:r>
    </w:p>
    <w:p>
      <w:pPr>
        <w:pStyle w:val="BodyText"/>
      </w:pPr>
      <w:r>
        <w:t xml:space="preserve">Registered Office: 123 Deansgate, Manchester, M3 2BQ, United Kingdom</w:t>
      </w:r>
    </w:p>
    <w:p>
      <w:pPr>
        <w:pStyle w:val="BodyText"/>
      </w:pPr>
      <w:r>
        <w:t xml:space="preserve">VAT Registration Number: GB 999 9999 99</w:t>
      </w:r>
    </w:p>
    <w:p>
      <w:pPr>
        <w:pStyle w:val="BodyText"/>
      </w:pPr>
      <w:r>
        <w:t xml:space="preserve">This document is a valid tax invoice for services provided in the United Kingdom.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Manchester, United Kingdom</dc:title>
  <dc:creator/>
  <dc:language>en</dc:language>
  <cp:keywords/>
  <dcterms:created xsi:type="dcterms:W3CDTF">2026-10-10T04:19:11Z</dcterms:created>
  <dcterms:modified xsi:type="dcterms:W3CDTF">2026-10-10T04:19:11Z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