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Houston,</w:t>
      </w:r>
      <w:r>
        <w:t xml:space="preserve"> </w:t>
      </w:r>
      <w:r>
        <w:t xml:space="preserve">Texas</w:t>
      </w:r>
    </w:p>
    <w:bookmarkStart w:id="20" w:name="houston-clinical-pharmacy-solutions"/>
    <w:p>
      <w:pPr>
        <w:pStyle w:val="Heading1"/>
      </w:pPr>
      <w:r>
        <w:t xml:space="preserve">Houston Clinical Pharmacy Solutions</w:t>
      </w:r>
    </w:p>
    <w:p>
      <w:pPr>
        <w:pStyle w:val="FirstParagraph"/>
      </w:pPr>
      <w:r>
        <w:t xml:space="preserve">1200 Main Street, Suite 400</w:t>
      </w:r>
    </w:p>
    <w:p>
      <w:pPr>
        <w:pStyle w:val="BodyText"/>
      </w:pPr>
      <w:r>
        <w:t xml:space="preserve">Houston, Texas 77002, United States</w:t>
      </w:r>
    </w:p>
    <w:p>
      <w:pPr>
        <w:pStyle w:val="BodyText"/>
      </w:pPr>
      <w:r>
        <w:t xml:space="preserve">Phone: (713) 555-0199 | Email: billing@hcpshouston.com</w:t>
      </w:r>
    </w:p>
    <w:p>
      <w:pPr>
        <w:pStyle w:val="BodyText"/>
      </w:pPr>
      <w:r>
        <w:t xml:space="preserve">TIN/EIN: 74-1234567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Memorial Hermann Health System</w:t>
      </w:r>
    </w:p>
    <w:p>
      <w:pPr>
        <w:pStyle w:val="BodyText"/>
      </w:pPr>
      <w:r>
        <w:t xml:space="preserve">Accounts Payable Department</w:t>
      </w:r>
    </w:p>
    <w:p>
      <w:pPr>
        <w:pStyle w:val="BodyText"/>
      </w:pPr>
      <w:r>
        <w:t xml:space="preserve">6411 Fannin Street</w:t>
      </w:r>
    </w:p>
    <w:p>
      <w:pPr>
        <w:pStyle w:val="BodyText"/>
      </w:pPr>
      <w:r>
        <w:t xml:space="preserve">Houston, Texas 77030, 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INV-HOU-2023-8842</w:t>
      </w:r>
    </w:p>
    <w:p>
      <w:pPr>
        <w:pStyle w:val="BodyText"/>
      </w:pPr>
      <w:r>
        <w:rPr>
          <w:bCs/>
          <w:b/>
        </w:rPr>
        <w:t xml:space="preserve">Service Period:</w:t>
      </w:r>
      <w:r>
        <w:t xml:space="preserve"> </w:t>
      </w:r>
      <w:r>
        <w:t xml:space="preserve">October 1, 2023 - October 31, 2023</w:t>
      </w:r>
    </w:p>
    <w:p>
      <w:pPr>
        <w:pStyle w:val="BodyText"/>
      </w:pPr>
      <w:r>
        <w:rPr>
          <w:bCs/>
          <w:b/>
        </w:rPr>
        <w:t xml:space="preserve">Payment Method:</w:t>
      </w:r>
      <w:r>
        <w:t xml:space="preserve"> </w:t>
      </w:r>
      <w:r>
        <w:t xml:space="preserve">Wire Transfer / ACH</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 / 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Clinical Pharmacist Consultation (In-Patient)</w:t>
            </w:r>
            <w:r>
              <w:br/>
            </w:r>
            <w:r>
              <w:t xml:space="preserve">Provision of specialized pharmaceutical care for complex patients within the Houston facility. Includes medication regimen review, therapeutic drug monitoring, and dosage adjustment recommendations based on renal and hepatic function.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Antimicrobial Stewardship Program Management</w:t>
            </w:r>
            <w:r>
              <w:br/>
            </w:r>
            <w:r>
              <w:t xml:space="preserve">Oversight of antibiotic usage protocols to ensure compliance with United States Centers for Disease Control and Prevention (CDC) guidelines. Includes daily rounds with infectious disease specialists and reporting on resistance patterns.</w:t>
            </w:r>
          </w:p>
        </w:tc>
        <w:tc>
          <w:tcPr/>
          <w:p>
            <w:pPr>
              <w:pStyle w:val="Compact"/>
              <w:jc w:val="left"/>
            </w:pPr>
            <w:r>
              <w:t xml:space="preserve">20 Hours</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Pharmacist-Led Medication Reconciliation</w:t>
            </w:r>
            <w:r>
              <w:br/>
            </w:r>
            <w:r>
              <w:t xml:space="preserve">Comprehensive reconciliation of patient medications upon admission, transfer, and discharge to prevent adverse drug events. Ensures accuracy of patient history and continuity of care within the Houston healthcare network.</w:t>
            </w:r>
          </w:p>
        </w:tc>
        <w:tc>
          <w:tcPr/>
          <w:p>
            <w:pPr>
              <w:pStyle w:val="Compact"/>
              <w:jc w:val="left"/>
            </w:pPr>
            <w:r>
              <w:t xml:space="preserve">150 Patients</w:t>
            </w:r>
          </w:p>
        </w:tc>
        <w:tc>
          <w:tcPr/>
          <w:p>
            <w:pPr>
              <w:pStyle w:val="Compact"/>
              <w:jc w:val="left"/>
            </w:pPr>
            <w:r>
              <w:t xml:space="preserve">25.00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Specialized Compounding Services</w:t>
            </w:r>
            <w:r>
              <w:br/>
            </w:r>
            <w:r>
              <w:t xml:space="preserve">Preparation of sterile and non-sterile compounded medications tailored to specific patient needs not met by commercially available products. Adheres strictly to USP &lt;797&gt; and USP &lt;795&gt; standards.</w:t>
            </w:r>
          </w:p>
        </w:tc>
        <w:tc>
          <w:tcPr/>
          <w:p>
            <w:pPr>
              <w:pStyle w:val="Compact"/>
              <w:jc w:val="left"/>
            </w:pPr>
            <w:r>
              <w:t xml:space="preserve">50 Units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5</w:t>
            </w:r>
          </w:p>
        </w:tc>
        <w:tc>
          <w:tcPr/>
          <w:p>
            <w:pPr>
              <w:pStyle w:val="Compact"/>
              <w:jc w:val="left"/>
            </w:pPr>
            <w:r>
              <w:rPr>
                <w:bCs/>
                <w:b/>
              </w:rPr>
              <w:t xml:space="preserve">Pharmacist Staff Training &amp; Education</w:t>
            </w:r>
            <w:r>
              <w:br/>
            </w:r>
            <w:r>
              <w:t xml:space="preserve">Conducting workshops for nursing staff and junior pharmacists regarding new drug therapies, safety alerts, and regulatory updates specific to Texas Board of Pharmacy requirements.</w:t>
            </w:r>
          </w:p>
        </w:tc>
        <w:tc>
          <w:tcPr/>
          <w:p>
            <w:pPr>
              <w:pStyle w:val="Compact"/>
              <w:jc w:val="left"/>
            </w:pPr>
            <w:r>
              <w:t xml:space="preserve">8 Hours</w:t>
            </w:r>
          </w:p>
        </w:tc>
        <w:tc>
          <w:tcPr/>
          <w:p>
            <w:pPr>
              <w:pStyle w:val="Compact"/>
              <w:jc w:val="left"/>
            </w:pPr>
            <w:r>
              <w:t xml:space="preserve">200.00</w:t>
            </w:r>
          </w:p>
        </w:tc>
        <w:tc>
          <w:tcPr/>
          <w:p>
            <w:pPr>
              <w:pStyle w:val="Compact"/>
              <w:jc w:val="left"/>
            </w:pPr>
            <w:r>
              <w:t xml:space="preserve">1,600.00</w:t>
            </w:r>
          </w:p>
        </w:tc>
      </w:tr>
    </w:tbl>
    <w:p>
      <w:pPr>
        <w:pStyle w:val="BodyText"/>
      </w:pPr>
      <w:r>
        <w:t xml:space="preserve">Subtotal:</w:t>
      </w:r>
      <w:r>
        <w:t xml:space="preserve"> </w:t>
      </w:r>
      <w:r>
        <w:t xml:space="preserve">$17,100.00</w:t>
      </w:r>
    </w:p>
    <w:p>
      <w:pPr>
        <w:pStyle w:val="BodyText"/>
      </w:pPr>
      <w:r>
        <w:t xml:space="preserve">Tax (0% - Professional Services Exempt):</w:t>
      </w:r>
      <w:r>
        <w:t xml:space="preserve"> </w:t>
      </w:r>
      <w:r>
        <w:t xml:space="preserve">$0.00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$17,100.00</w:t>
      </w:r>
    </w:p>
    <w:bookmarkStart w:id="24" w:name="payment-instructions"/>
    <w:p>
      <w:pPr>
        <w:pStyle w:val="Heading3"/>
      </w:pPr>
      <w:r>
        <w:t xml:space="preserve">Payment Instructions</w:t>
      </w:r>
    </w:p>
    <w:p>
      <w:pPr>
        <w:pStyle w:val="FirstParagraph"/>
      </w:pPr>
      <w:r>
        <w:t xml:space="preserve">Please remit payment within 30 days of the invoice date. Late payments may be subject to a 1.5% monthly interest charge.</w:t>
      </w:r>
    </w:p>
    <w:p>
      <w:pPr>
        <w:pStyle w:val="BodyText"/>
      </w:pPr>
      <w:r>
        <w:rPr>
          <w:bCs/>
          <w:b/>
        </w:rPr>
        <w:t xml:space="preserve">Bank Name:</w:t>
      </w:r>
      <w:r>
        <w:t xml:space="preserve"> </w:t>
      </w:r>
      <w:r>
        <w:t xml:space="preserve">First National Bank of Houston</w:t>
      </w:r>
    </w:p>
    <w:p>
      <w:pPr>
        <w:pStyle w:val="BodyText"/>
      </w:pPr>
      <w:r>
        <w:rPr>
          <w:bCs/>
          <w:b/>
        </w:rPr>
        <w:t xml:space="preserve">Account Name:</w:t>
      </w:r>
      <w:r>
        <w:t xml:space="preserve"> </w:t>
      </w:r>
      <w:r>
        <w:t xml:space="preserve">Houston Clinical Pharmacy Solutions LLC</w:t>
      </w:r>
    </w:p>
    <w:p>
      <w:pPr>
        <w:pStyle w:val="BodyText"/>
      </w:pPr>
      <w:r>
        <w:rPr>
          <w:bCs/>
          <w:b/>
        </w:rPr>
        <w:t xml:space="preserve">Routing Number:</w:t>
      </w:r>
      <w:r>
        <w:t xml:space="preserve"> </w:t>
      </w:r>
      <w:r>
        <w:t xml:space="preserve">111000025</w:t>
      </w:r>
    </w:p>
    <w:p>
      <w:pPr>
        <w:pStyle w:val="BodyText"/>
      </w:pPr>
      <w:r>
        <w:rPr>
          <w:bCs/>
          <w:b/>
        </w:rPr>
        <w:t xml:space="preserve">Account Number:</w:t>
      </w:r>
      <w:r>
        <w:t xml:space="preserve"> </w:t>
      </w:r>
      <w:r>
        <w:t xml:space="preserve">9876543210</w:t>
      </w:r>
    </w:p>
    <w:p>
      <w:pPr>
        <w:pStyle w:val="BodyText"/>
      </w:pPr>
      <w:r>
        <w:rPr>
          <w:bCs/>
          <w:b/>
        </w:rPr>
        <w:t xml:space="preserve">Reference:</w:t>
      </w:r>
      <w:r>
        <w:t xml:space="preserve"> </w:t>
      </w:r>
      <w:r>
        <w:t xml:space="preserve">Invoice #INV-HOU-2023-8842</w:t>
      </w:r>
    </w:p>
    <w:bookmarkEnd w:id="24"/>
    <w:bookmarkStart w:id="25" w:name="terms-conditions-and-professional-notes"/>
    <w:p>
      <w:pPr>
        <w:pStyle w:val="Heading3"/>
      </w:pPr>
      <w:r>
        <w:t xml:space="preserve">Terms, Conditions, and Professional Notes</w:t>
      </w:r>
    </w:p>
    <w:p>
      <w:pPr>
        <w:pStyle w:val="FirstParagraph"/>
      </w:pPr>
      <w:r>
        <w:t xml:space="preserve">This Invoice represents the professional fees for services rendered by a licensed Pharmacist in the state of Texas. All services provided were conducted in accordance with the Texas Pharmacy Act and federal regulations enforced by the United States Food and Drug Administration (FDA).</w:t>
      </w:r>
    </w:p>
    <w:p>
      <w:pPr>
        <w:pStyle w:val="BodyText"/>
      </w:pPr>
      <w:r>
        <w:rPr>
          <w:bCs/>
          <w:b/>
        </w:rPr>
        <w:t xml:space="preserve">Scope of Practice:</w:t>
      </w:r>
      <w:r>
        <w:t xml:space="preserve"> </w:t>
      </w:r>
      <w:r>
        <w:t xml:space="preserve">The services detailed above reflect the advanced clinical training and expertise of our pharmacy team. This includes, but is not limited to, pharmacokinetic calculations, drug interaction analysis, and patient counseling. The Pharmacist acting on this account holds a valid license issued by the Texas State Board of Pharmacy.</w:t>
      </w:r>
    </w:p>
    <w:p>
      <w:pPr>
        <w:pStyle w:val="BodyText"/>
      </w:pPr>
      <w:r>
        <w:rPr>
          <w:bCs/>
          <w:b/>
        </w:rPr>
        <w:t xml:space="preserve">Liability and Accuracy:</w:t>
      </w:r>
      <w:r>
        <w:t xml:space="preserve"> </w:t>
      </w:r>
      <w:r>
        <w:t xml:space="preserve">Houston Clinical Pharmacy Solutions guarantees the accuracy of the billing data provided. Any discrepancies regarding the quantity of services or the nature of the pharmaceutical interventions must be reported within 14 days of receipt of this Invoice.</w:t>
      </w:r>
    </w:p>
    <w:p>
      <w:pPr>
        <w:pStyle w:val="BodyText"/>
      </w:pPr>
      <w:r>
        <w:rPr>
          <w:bCs/>
          <w:b/>
        </w:rPr>
        <w:t xml:space="preserve">Confidentiality:</w:t>
      </w:r>
      <w:r>
        <w:t xml:space="preserve"> </w:t>
      </w:r>
      <w:r>
        <w:t xml:space="preserve">All patient data accessed or utilized during the provision of these services is handled with strict confidentiality, adhering to the Health Insurance Portability and Accountability Act (HIPAA) of 1996. No protected health information (PHI) is included in this financial document.</w:t>
      </w:r>
    </w:p>
    <w:p>
      <w:pPr>
        <w:pStyle w:val="BodyText"/>
      </w:pPr>
      <w:r>
        <w:rPr>
          <w:bCs/>
          <w:b/>
        </w:rPr>
        <w:t xml:space="preserve">Regulatory Compliance:</w:t>
      </w:r>
      <w:r>
        <w:t xml:space="preserve"> </w:t>
      </w:r>
      <w:r>
        <w:t xml:space="preserve">As a provider operating in Houston, Texas, we ensure that all compounded medications and clinical protocols meet the rigorous standards required for healthcare facilities in the United States. This Invoice covers the professional labor and oversight; costs for raw pharmaceutical ingredients are billed separately under Purchase Order #PO-9921.</w:t>
      </w:r>
    </w:p>
    <w:p>
      <w:pPr>
        <w:pStyle w:val="BodyText"/>
      </w:pPr>
      <w:r>
        <w:t xml:space="preserve">Thank you for your continued partnership in providing high-quality pharmaceutical care to the Houston community. We look forward to our ongoing collaboration to improve patient outcomes through evidence-based pharmacy practice.</w:t>
      </w:r>
    </w:p>
    <w:bookmarkEnd w:id="25"/>
    <w:p>
      <w:pPr>
        <w:pStyle w:val="BodyText"/>
      </w:pPr>
      <w:r>
        <w:rPr>
          <w:bCs/>
          <w:b/>
        </w:rPr>
        <w:t xml:space="preserve">Authorized By (Provider):</w:t>
      </w:r>
    </w:p>
    <w:p>
      <w:pPr>
        <w:pStyle w:val="BodyText"/>
      </w:pPr>
      <w:r>
        <w:t xml:space="preserve">Dr. Sarah Jenkins, Pharm.D., BCPS</w:t>
      </w:r>
    </w:p>
    <w:p>
      <w:pPr>
        <w:pStyle w:val="BodyText"/>
      </w:pPr>
      <w:r>
        <w:t xml:space="preserve">Senior Clinical Pharmacist</w:t>
      </w:r>
    </w:p>
    <w:p>
      <w:pPr>
        <w:pStyle w:val="BodyText"/>
      </w:pPr>
      <w:r>
        <w:t xml:space="preserve">Houston Clinical Pharmacy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Houston, Texas</dc:title>
  <dc:creator/>
  <dc:language>en</dc:language>
  <cp:keywords/>
  <dcterms:created xsi:type="dcterms:W3CDTF">2026-10-10T07:33:18Z</dcterms:created>
  <dcterms:modified xsi:type="dcterms:W3CDTF">2026-10-10T07:33:18Z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