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west-coast-clinical-pharmacy-solutions"/>
    <w:p>
      <w:pPr>
        <w:pStyle w:val="Heading1"/>
      </w:pPr>
      <w:r>
        <w:t xml:space="preserve">West Coast Clinical Pharmacy Solutions</w:t>
      </w:r>
    </w:p>
    <w:p>
      <w:pPr>
        <w:pStyle w:val="FirstParagraph"/>
      </w:pPr>
      <w:r>
        <w:t xml:space="preserve">1234 Wilshire Boulevard, Suite 500</w:t>
      </w:r>
    </w:p>
    <w:p>
      <w:pPr>
        <w:pStyle w:val="BodyText"/>
      </w:pPr>
      <w:r>
        <w:t xml:space="preserve">Los Angeles, California 90017</w:t>
      </w:r>
    </w:p>
    <w:p>
      <w:pPr>
        <w:pStyle w:val="BodyText"/>
      </w:pPr>
      <w:r>
        <w:t xml:space="preserve">United States</w:t>
      </w:r>
    </w:p>
    <w:p>
      <w:pPr>
        <w:pStyle w:val="BodyText"/>
      </w:pPr>
      <w:r>
        <w:t xml:space="preserve">Phone: (213) 555-0199</w:t>
      </w:r>
    </w:p>
    <w:p>
      <w:pPr>
        <w:pStyle w:val="BodyText"/>
      </w:pPr>
      <w:r>
        <w:t xml:space="preserve">Email: billing@wccps-la.com</w:t>
      </w:r>
    </w:p>
    <w:p>
      <w:pPr>
        <w:pStyle w:val="BodyText"/>
      </w:pPr>
      <w:r>
        <w:t xml:space="preserve">License No.: CA-RX-884210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INV-LA-2023-0045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Metropolitan Health Systems Group</w:t>
      </w:r>
    </w:p>
    <w:p>
      <w:pPr>
        <w:pStyle w:val="BodyText"/>
      </w:pPr>
      <w:r>
        <w:t xml:space="preserve">Attn: Accounts Payable Department</w:t>
      </w:r>
    </w:p>
    <w:p>
      <w:pPr>
        <w:pStyle w:val="BodyText"/>
      </w:pPr>
      <w:r>
        <w:t xml:space="preserve">500 S Flower Street</w:t>
      </w:r>
    </w:p>
    <w:p>
      <w:pPr>
        <w:pStyle w:val="BodyText"/>
      </w:pPr>
      <w:r>
        <w:t xml:space="preserve">Los Angeles, California 90071</w:t>
      </w:r>
    </w:p>
    <w:p>
      <w:pPr>
        <w:pStyle w:val="BodyText"/>
      </w:pPr>
      <w:r>
        <w:t xml:space="preserve">United States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Comprehensive Medication Therapy Management (MTM)</w:t>
            </w:r>
            <w:r>
              <w:br/>
            </w:r>
            <w:r>
              <w:t xml:space="preserve">Provision of clinical pharmacist services for high-risk patients within the Los Angeles metropolitan area. Includes review of medication profiles, identification of drug-drug interactions, and optimization of therapeutic regimens in compliance with California Board of Pharmacy regulations.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Immunization Administration Services</w:t>
            </w:r>
            <w:r>
              <w:br/>
            </w:r>
            <w:r>
              <w:t xml:space="preserve">Administration of flu, pneumonia, and Hepatitis B vaccines to adult patients. Includes patient counseling, documentation of administration, and reporting to the California Immunization Registry (CAIR). Services rendered by licensed pharmacists at the downtown Los Angeles clinic.</w:t>
            </w:r>
          </w:p>
        </w:tc>
        <w:tc>
          <w:tcPr/>
          <w:p>
            <w:pPr>
              <w:pStyle w:val="Compact"/>
              <w:jc w:val="left"/>
            </w:pPr>
            <w:r>
              <w:t xml:space="preserve">150.0</w:t>
            </w:r>
          </w:p>
        </w:tc>
        <w:tc>
          <w:tcPr/>
          <w:p>
            <w:pPr>
              <w:pStyle w:val="Compact"/>
              <w:jc w:val="left"/>
            </w:pPr>
            <w:r>
              <w:t xml:space="preserve">$25.00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Anticoagulation Management Program</w:t>
            </w:r>
            <w:r>
              <w:br/>
            </w:r>
            <w:r>
              <w:t xml:space="preserve">Specialized pharmacist-led management for patients on warfarin and DOACs. Includes INR monitoring, dosage adjustments, and patient education sessions. This service ensures adherence to United States federal guidelines for anticoagulation therapy.</w:t>
            </w:r>
          </w:p>
        </w:tc>
        <w:tc>
          <w:tcPr/>
          <w:p>
            <w:pPr>
              <w:pStyle w:val="Compact"/>
              <w:jc w:val="left"/>
            </w:pPr>
            <w:r>
              <w:t xml:space="preserve">25.0</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Pharmacist Consultation for Hospital Rounds</w:t>
            </w:r>
            <w:r>
              <w:br/>
            </w:r>
            <w:r>
              <w:t xml:space="preserve">On-site clinical pharmacist participation in multidisciplinary rounds at the partner hospital in Los Angeles. Focus on antimicrobial stewardship, renal dosing adjustments, and discharge medication reconciliation to reduce readmission rates.</w:t>
            </w:r>
          </w:p>
        </w:tc>
        <w:tc>
          <w:tcPr/>
          <w:p>
            <w:pPr>
              <w:pStyle w:val="Compact"/>
              <w:jc w:val="left"/>
            </w:pPr>
            <w:r>
              <w:t xml:space="preserve">60.0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Regulatory Compliance Audit</w:t>
            </w:r>
            <w:r>
              <w:br/>
            </w:r>
            <w:r>
              <w:t xml:space="preserve">Review of pharmacy operations to ensure full compliance with the California Business and Professions Code and federal DEA regulations regarding controlled substances. Includes documentation review and staff training on updated protocols.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$25,750.00</w:t>
      </w:r>
    </w:p>
    <w:p>
      <w:pPr>
        <w:pStyle w:val="BodyText"/>
      </w:pPr>
      <w:r>
        <w:t xml:space="preserve">California Sales Tax (Exempt - Medical Services):</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$25,750.00</w:t>
      </w:r>
    </w:p>
    <w:bookmarkStart w:id="23" w:name="payment-instructions"/>
    <w:p>
      <w:pPr>
        <w:pStyle w:val="Heading4"/>
      </w:pPr>
      <w:r>
        <w:t xml:space="preserve">Payment Instructions:</w:t>
      </w:r>
    </w:p>
    <w:p>
      <w:pPr>
        <w:pStyle w:val="FirstParagraph"/>
      </w:pPr>
      <w:r>
        <w:t xml:space="preserve">Please make checks payable to</w:t>
      </w:r>
      <w:r>
        <w:t xml:space="preserve"> </w:t>
      </w:r>
      <w:r>
        <w:rPr>
          <w:bCs/>
          <w:b/>
        </w:rPr>
        <w:t xml:space="preserve">West Coast Clinical Pharmacy Solutions</w:t>
      </w:r>
      <w:r>
        <w:t xml:space="preserve">. For electronic transfers, please contact our accounts receivable department for wire details. All payments must be made in United States Dollars (USD).</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Licensing:</w:t>
      </w:r>
      <w:r>
        <w:t xml:space="preserve"> </w:t>
      </w:r>
      <w:r>
        <w:t xml:space="preserve">All pharmacist services listed on this invoice are performed by individuals holding valid licenses to practice pharmacy in the State of California and the United States.</w:t>
      </w:r>
    </w:p>
    <w:p>
      <w:pPr>
        <w:pStyle w:val="BodyText"/>
      </w:pPr>
      <w:r>
        <w:t xml:space="preserve">2.</w:t>
      </w:r>
      <w:r>
        <w:t xml:space="preserve"> </w:t>
      </w:r>
      <w:r>
        <w:rPr>
          <w:bCs/>
          <w:b/>
        </w:rPr>
        <w:t xml:space="preserve">Scope of Work:</w:t>
      </w:r>
      <w:r>
        <w:t xml:space="preserve"> </w:t>
      </w:r>
      <w:r>
        <w:t xml:space="preserve">Services were rendered specifically within the Los Angeles jurisdiction, adhering to local health department standards and facility-specific protocols.</w:t>
      </w:r>
    </w:p>
    <w:p>
      <w:pPr>
        <w:pStyle w:val="BodyText"/>
      </w:pPr>
      <w:r>
        <w:t xml:space="preserve">3.</w:t>
      </w:r>
      <w:r>
        <w:t xml:space="preserve"> </w:t>
      </w:r>
      <w:r>
        <w:rPr>
          <w:bCs/>
          <w:b/>
        </w:rPr>
        <w:t xml:space="preserve">Disputes:</w:t>
      </w:r>
      <w:r>
        <w:t xml:space="preserve"> </w:t>
      </w:r>
      <w:r>
        <w:t xml:space="preserve">Any discrepancies regarding this invoice must be reported within 10 business days of the invoice date. Failure to report discrepancies will result in the invoice being considered accepted.</w:t>
      </w:r>
    </w:p>
    <w:p>
      <w:pPr>
        <w:pStyle w:val="BodyText"/>
      </w:pPr>
      <w:r>
        <w:t xml:space="preserve">4.</w:t>
      </w:r>
      <w:r>
        <w:t xml:space="preserve"> </w:t>
      </w:r>
      <w:r>
        <w:rPr>
          <w:bCs/>
          <w:b/>
        </w:rPr>
        <w:t xml:space="preserve">Late Fees:</w:t>
      </w:r>
      <w:r>
        <w:t xml:space="preserve"> </w:t>
      </w:r>
      <w:r>
        <w:t xml:space="preserve">A late fee of 1.5% per month will be applied to any balance remaining unpaid after the due date of November 24, 2023.</w:t>
      </w:r>
    </w:p>
    <w:p>
      <w:pPr>
        <w:pStyle w:val="BodyText"/>
      </w:pPr>
      <w:r>
        <w:t xml:space="preserve">5.</w:t>
      </w:r>
      <w:r>
        <w:t xml:space="preserve"> </w:t>
      </w:r>
      <w:r>
        <w:rPr>
          <w:bCs/>
          <w:b/>
        </w:rPr>
        <w:t xml:space="preserve">Confidentiality:</w:t>
      </w:r>
      <w:r>
        <w:t xml:space="preserve"> </w:t>
      </w:r>
      <w:r>
        <w:t xml:space="preserve">All patient data and clinical information handled during these services remain confidential in accordance with HIPAA regulations.</w:t>
      </w:r>
    </w:p>
    <w:bookmarkEnd w:id="24"/>
    <w:p>
      <w:pPr>
        <w:pStyle w:val="BodyText"/>
      </w:pPr>
      <w:r>
        <w:t xml:space="preserve">Thank you for your business. We appreciate your partnership in providing high-quality pharmaceutical care in Los Angeles.</w:t>
      </w:r>
    </w:p>
    <w:p>
      <w:pPr>
        <w:pStyle w:val="BodyText"/>
      </w:pPr>
      <w:r>
        <w:t xml:space="preserve">West Coast Clinical Pharmacy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Los Angeles, United States</dc:title>
  <dc:creator/>
  <dc:language>en</dc:language>
  <cp:keywords/>
  <dcterms:created xsi:type="dcterms:W3CDTF">2026-10-10T03:17:30Z</dcterms:created>
  <dcterms:modified xsi:type="dcterms:W3CDTF">2026-10-10T03:17:30Z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