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Quantum</w:t>
      </w:r>
      <w:r>
        <w:t xml:space="preserve"> </w:t>
      </w:r>
      <w:r>
        <w:t xml:space="preserve">Dynamics</w:t>
      </w:r>
      <w:r>
        <w:t xml:space="preserve"> </w:t>
      </w:r>
      <w:r>
        <w:t xml:space="preserve">Research</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INVOICE</w:t>
      </w:r>
    </w:p>
    <w:p>
      <w:pPr>
        <w:pStyle w:val="BodyText"/>
      </w:pPr>
      <w:r>
        <w:t xml:space="preserve">PAID IN FULL</w:t>
      </w:r>
    </w:p>
    <w:p>
      <w:pPr>
        <w:pStyle w:val="BodyText"/>
      </w:pPr>
      <w:r>
        <w:rPr>
          <w:bCs/>
          <w:b/>
        </w:rPr>
        <w:t xml:space="preserve">Invoice Number:</w:t>
      </w:r>
      <w:r>
        <w:t xml:space="preserve"> </w:t>
      </w:r>
      <w:r>
        <w:t xml:space="preserve">INV-2025-AUS-MEL-0047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1 January 2025 – 31 May 2025</w:t>
      </w:r>
    </w:p>
    <w:p>
      <w:pPr>
        <w:pStyle w:val="BodyText"/>
      </w:pPr>
      <w:r>
        <w:rPr>
          <w:bCs/>
          <w:b/>
        </w:rPr>
        <w:t xml:space="preserve">Location:</w:t>
      </w:r>
      <w:r>
        <w:t xml:space="preserve"> </w:t>
      </w:r>
      <w:r>
        <w:t xml:space="preserve">Australia Melbourne</w:t>
      </w:r>
    </w:p>
    <w:bookmarkStart w:id="20" w:name="issued-by-physicist"/>
    <w:p>
      <w:pPr>
        <w:pStyle w:val="Heading3"/>
      </w:pPr>
      <w:r>
        <w:t xml:space="preserve">Issued By (Physicist)</w:t>
      </w:r>
    </w:p>
    <w:p>
      <w:pPr>
        <w:pStyle w:val="FirstParagraph"/>
      </w:pPr>
      <w:r>
        <w:t xml:space="preserve">Dr. Eleanor M. Ashworth, PhD</w:t>
      </w:r>
    </w:p>
    <w:p>
      <w:pPr>
        <w:pStyle w:val="BodyText"/>
      </w:pPr>
      <w:r>
        <w:t xml:space="preserve">Senior Research Physicist &amp; Consultant</w:t>
      </w:r>
    </w:p>
    <w:p>
      <w:pPr>
        <w:pStyle w:val="BodyText"/>
      </w:pPr>
      <w:r>
        <w:t xml:space="preserve">Ashworth Quantum Dynamics Pty Ltd</w:t>
      </w:r>
    </w:p>
    <w:p>
      <w:pPr>
        <w:pStyle w:val="BodyText"/>
      </w:pPr>
      <w:r>
        <w:t xml:space="preserve">Level 12, 88 Collins Street</w:t>
      </w:r>
    </w:p>
    <w:p>
      <w:pPr>
        <w:pStyle w:val="BodyText"/>
      </w:pPr>
      <w:r>
        <w:t xml:space="preserve">Melbourne, Victoria 3000</w:t>
      </w:r>
    </w:p>
    <w:p>
      <w:pPr>
        <w:pStyle w:val="BodyText"/>
      </w:pPr>
      <w:r>
        <w:t xml:space="preserve">Australia Melbourne</w:t>
      </w:r>
    </w:p>
    <w:p>
      <w:pPr>
        <w:pStyle w:val="BodyText"/>
      </w:pPr>
      <w:r>
        <w:t xml:space="preserve">ABN: 48 291 736 502</w:t>
      </w:r>
    </w:p>
    <w:p>
      <w:pPr>
        <w:pStyle w:val="BodyText"/>
      </w:pPr>
      <w:r>
        <w:t xml:space="preserve">ACN: 612 847 390</w:t>
      </w:r>
    </w:p>
    <w:p>
      <w:pPr>
        <w:pStyle w:val="BodyText"/>
      </w:pPr>
      <w:r>
        <w:t xml:space="preserve">Email: e.ashworth@aqd-consulting.com.au</w:t>
      </w:r>
    </w:p>
    <w:p>
      <w:pPr>
        <w:pStyle w:val="BodyText"/>
      </w:pPr>
      <w:r>
        <w:t xml:space="preserve">Phone: +61 3 9421 7834</w:t>
      </w:r>
    </w:p>
    <w:bookmarkEnd w:id="20"/>
    <w:bookmarkStart w:id="21" w:name="billed-to-client"/>
    <w:p>
      <w:pPr>
        <w:pStyle w:val="Heading3"/>
      </w:pPr>
      <w:r>
        <w:t xml:space="preserve">Billed To (Client)</w:t>
      </w:r>
    </w:p>
    <w:p>
      <w:pPr>
        <w:pStyle w:val="FirstParagraph"/>
      </w:pPr>
      <w:r>
        <w:t xml:space="preserve">Dr. James R. Whitfield</w:t>
      </w:r>
    </w:p>
    <w:p>
      <w:pPr>
        <w:pStyle w:val="BodyText"/>
      </w:pPr>
      <w:r>
        <w:t xml:space="preserve">Director of Applied Sciences</w:t>
      </w:r>
    </w:p>
    <w:p>
      <w:pPr>
        <w:pStyle w:val="BodyText"/>
      </w:pPr>
      <w:r>
        <w:t xml:space="preserve">Meridian Technologies Group Ltd</w:t>
      </w:r>
    </w:p>
    <w:p>
      <w:pPr>
        <w:pStyle w:val="BodyText"/>
      </w:pPr>
      <w:r>
        <w:t xml:space="preserve">Suite 5, 200 St Kilda Road</w:t>
      </w:r>
    </w:p>
    <w:p>
      <w:pPr>
        <w:pStyle w:val="BodyText"/>
      </w:pPr>
      <w:r>
        <w:t xml:space="preserve">Melbourne, Victoria 3004</w:t>
      </w:r>
    </w:p>
    <w:p>
      <w:pPr>
        <w:pStyle w:val="BodyText"/>
      </w:pPr>
      <w:r>
        <w:t xml:space="preserve">Australia Melbourne</w:t>
      </w:r>
    </w:p>
    <w:p>
      <w:pPr>
        <w:pStyle w:val="BodyText"/>
      </w:pPr>
      <w:r>
        <w:t xml:space="preserve">ABN: 12 584 920 371</w:t>
      </w:r>
    </w:p>
    <w:p>
      <w:pPr>
        <w:pStyle w:val="BodyText"/>
      </w:pPr>
      <w:r>
        <w:t xml:space="preserve">Email: j.whitfield@meridiantech.com.au</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Physicist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01</w:t>
            </w:r>
          </w:p>
        </w:tc>
        <w:tc>
          <w:tcPr/>
          <w:p>
            <w:pPr>
              <w:pStyle w:val="Compact"/>
              <w:jc w:val="left"/>
            </w:pPr>
            <w:r>
              <w:t xml:space="preserve">Quantum field theory modelling and simulation for next-generation semiconductor design. The Physicist conducted advanced computational analysis of electron behaviour at the nanoscale, providing critical insights for the client's R&amp;D pipeline in Australia Melbourne.</w:t>
            </w:r>
          </w:p>
        </w:tc>
        <w:tc>
          <w:tcPr/>
          <w:p>
            <w:pPr>
              <w:pStyle w:val="Compact"/>
              <w:jc w:val="left"/>
            </w:pPr>
            <w:r>
              <w:t xml:space="preserve">$285.00</w:t>
            </w:r>
          </w:p>
        </w:tc>
        <w:tc>
          <w:tcPr/>
          <w:p>
            <w:pPr>
              <w:pStyle w:val="Compact"/>
              <w:jc w:val="left"/>
            </w:pPr>
            <w:r>
              <w:t xml:space="preserve">42</w:t>
            </w:r>
          </w:p>
        </w:tc>
        <w:tc>
          <w:tcPr/>
          <w:p>
            <w:pPr>
              <w:pStyle w:val="Compact"/>
              <w:jc w:val="left"/>
            </w:pPr>
            <w:r>
              <w:t xml:space="preserve">$11,970.00</w:t>
            </w:r>
          </w:p>
        </w:tc>
        <w:tc>
          <w:tcPr/>
          <w:p>
            <w:pPr>
              <w:pStyle w:val="Compact"/>
              <w:jc w:val="left"/>
            </w:pPr>
            <w:r>
              <w:t xml:space="preserve">$1,197.00</w:t>
            </w:r>
          </w:p>
        </w:tc>
      </w:tr>
      <w:tr>
        <w:tc>
          <w:tcPr/>
          <w:p>
            <w:pPr>
              <w:pStyle w:val="Compact"/>
              <w:jc w:val="left"/>
            </w:pPr>
            <w:r>
              <w:t xml:space="preserve">02</w:t>
            </w:r>
          </w:p>
        </w:tc>
        <w:tc>
          <w:tcPr/>
          <w:p>
            <w:pPr>
              <w:pStyle w:val="Compact"/>
              <w:jc w:val="left"/>
            </w:pPr>
            <w:r>
              <w:t xml:space="preserve">Thermodynamic analysis and heat dissipation modelling for high-performance computing infrastructure. The Physicist delivered a comprehensive report on thermal management strategies, including entropy calculations and phase-transition boundary conditions relevant to the client's data centre operations in Australia Melbourne.</w:t>
            </w:r>
          </w:p>
        </w:tc>
        <w:tc>
          <w:tcPr/>
          <w:p>
            <w:pPr>
              <w:pStyle w:val="Compact"/>
              <w:jc w:val="left"/>
            </w:pPr>
            <w:r>
              <w:t xml:space="preserve">$285.00</w:t>
            </w:r>
          </w:p>
        </w:tc>
        <w:tc>
          <w:tcPr/>
          <w:p>
            <w:pPr>
              <w:pStyle w:val="Compact"/>
              <w:jc w:val="left"/>
            </w:pPr>
            <w:r>
              <w:t xml:space="preserve">36</w:t>
            </w:r>
          </w:p>
        </w:tc>
        <w:tc>
          <w:tcPr/>
          <w:p>
            <w:pPr>
              <w:pStyle w:val="Compact"/>
              <w:jc w:val="left"/>
            </w:pPr>
            <w:r>
              <w:t xml:space="preserve">$10,260.00</w:t>
            </w:r>
          </w:p>
        </w:tc>
        <w:tc>
          <w:tcPr/>
          <w:p>
            <w:pPr>
              <w:pStyle w:val="Compact"/>
              <w:jc w:val="left"/>
            </w:pPr>
            <w:r>
              <w:t xml:space="preserve">$1,026.00</w:t>
            </w:r>
          </w:p>
        </w:tc>
      </w:tr>
      <w:tr>
        <w:tc>
          <w:tcPr/>
          <w:p>
            <w:pPr>
              <w:pStyle w:val="Compact"/>
              <w:jc w:val="left"/>
            </w:pPr>
            <w:r>
              <w:t xml:space="preserve">03</w:t>
            </w:r>
          </w:p>
        </w:tc>
        <w:tc>
          <w:tcPr/>
          <w:p>
            <w:pPr>
              <w:pStyle w:val="Compact"/>
              <w:jc w:val="left"/>
            </w:pPr>
            <w:r>
              <w:t xml:space="preserve">Optical physics consultation and laser interference pattern analysis. The Physicist provided expert guidance on coherent light source alignment, diffraction grating specifications, and wave-particle duality considerations for the client's photonic sensor development programme.</w:t>
            </w:r>
          </w:p>
        </w:tc>
        <w:tc>
          <w:tcPr/>
          <w:p>
            <w:pPr>
              <w:pStyle w:val="Compact"/>
              <w:jc w:val="left"/>
            </w:pPr>
            <w:r>
              <w:t xml:space="preserve">$310.00</w:t>
            </w:r>
          </w:p>
        </w:tc>
        <w:tc>
          <w:tcPr/>
          <w:p>
            <w:pPr>
              <w:pStyle w:val="Compact"/>
              <w:jc w:val="left"/>
            </w:pPr>
            <w:r>
              <w:t xml:space="preserve">28</w:t>
            </w:r>
          </w:p>
        </w:tc>
        <w:tc>
          <w:tcPr/>
          <w:p>
            <w:pPr>
              <w:pStyle w:val="Compact"/>
              <w:jc w:val="left"/>
            </w:pPr>
            <w:r>
              <w:t xml:space="preserve">$8,680.00</w:t>
            </w:r>
          </w:p>
        </w:tc>
        <w:tc>
          <w:tcPr/>
          <w:p>
            <w:pPr>
              <w:pStyle w:val="Compact"/>
              <w:jc w:val="left"/>
            </w:pPr>
            <w:r>
              <w:t xml:space="preserve">$868.00</w:t>
            </w:r>
          </w:p>
        </w:tc>
      </w:tr>
      <w:tr>
        <w:tc>
          <w:tcPr/>
          <w:p>
            <w:pPr>
              <w:pStyle w:val="Compact"/>
              <w:jc w:val="left"/>
            </w:pPr>
            <w:r>
              <w:t xml:space="preserve">04</w:t>
            </w:r>
          </w:p>
        </w:tc>
        <w:tc>
          <w:tcPr/>
          <w:p>
            <w:pPr>
              <w:pStyle w:val="Compact"/>
              <w:jc w:val="left"/>
            </w:pPr>
            <w:r>
              <w:t xml:space="preserve">Statistical mechanics and Monte Carlo simulation for materials science applications. The Physicist performed extensive computational modelling of lattice defects, phonon transport, and critical phenomena to support the client's advanced alloy development initiative.</w:t>
            </w:r>
          </w:p>
        </w:tc>
        <w:tc>
          <w:tcPr/>
          <w:p>
            <w:pPr>
              <w:pStyle w:val="Compact"/>
              <w:jc w:val="left"/>
            </w:pPr>
            <w:r>
              <w:t xml:space="preserve">$285.00</w:t>
            </w:r>
          </w:p>
        </w:tc>
        <w:tc>
          <w:tcPr/>
          <w:p>
            <w:pPr>
              <w:pStyle w:val="Compact"/>
              <w:jc w:val="left"/>
            </w:pPr>
            <w:r>
              <w:t xml:space="preserve">50</w:t>
            </w:r>
          </w:p>
        </w:tc>
        <w:tc>
          <w:tcPr/>
          <w:p>
            <w:pPr>
              <w:pStyle w:val="Compact"/>
              <w:jc w:val="left"/>
            </w:pPr>
            <w:r>
              <w:t xml:space="preserve">$14,250.00</w:t>
            </w:r>
          </w:p>
        </w:tc>
        <w:tc>
          <w:tcPr/>
          <w:p>
            <w:pPr>
              <w:pStyle w:val="Compact"/>
              <w:jc w:val="left"/>
            </w:pPr>
            <w:r>
              <w:t xml:space="preserve">$1,425.00</w:t>
            </w:r>
          </w:p>
        </w:tc>
      </w:tr>
      <w:tr>
        <w:tc>
          <w:tcPr/>
          <w:p>
            <w:pPr>
              <w:pStyle w:val="Compact"/>
              <w:jc w:val="left"/>
            </w:pPr>
            <w:r>
              <w:t xml:space="preserve">05</w:t>
            </w:r>
          </w:p>
        </w:tc>
        <w:tc>
          <w:tcPr/>
          <w:p>
            <w:pPr>
              <w:pStyle w:val="Compact"/>
              <w:jc w:val="left"/>
            </w:pPr>
            <w:r>
              <w:t xml:space="preserve">On-site laboratory supervision and experimental validation in Australia Melbourne. The Physicist attended the client's facility at 200 St Kilda Road on four occasions to oversee experimental setups, calibrate instrumentation, and verify theoretical predictions against empirical data.</w:t>
            </w:r>
          </w:p>
        </w:tc>
        <w:tc>
          <w:tcPr/>
          <w:p>
            <w:pPr>
              <w:pStyle w:val="Compact"/>
              <w:jc w:val="left"/>
            </w:pPr>
            <w:r>
              <w:t xml:space="preserve">$350.00</w:t>
            </w:r>
          </w:p>
        </w:tc>
        <w:tc>
          <w:tcPr/>
          <w:p>
            <w:pPr>
              <w:pStyle w:val="Compact"/>
              <w:jc w:val="left"/>
            </w:pPr>
            <w:r>
              <w:t xml:space="preserve">16</w:t>
            </w:r>
          </w:p>
        </w:tc>
        <w:tc>
          <w:tcPr/>
          <w:p>
            <w:pPr>
              <w:pStyle w:val="Compact"/>
              <w:jc w:val="left"/>
            </w:pPr>
            <w:r>
              <w:t xml:space="preserve">$5,600.00</w:t>
            </w:r>
          </w:p>
        </w:tc>
        <w:tc>
          <w:tcPr/>
          <w:p>
            <w:pPr>
              <w:pStyle w:val="Compact"/>
              <w:jc w:val="left"/>
            </w:pPr>
            <w:r>
              <w:t xml:space="preserve">$560.00</w:t>
            </w:r>
          </w:p>
        </w:tc>
      </w:tr>
      <w:tr>
        <w:tc>
          <w:tcPr/>
          <w:p>
            <w:pPr>
              <w:pStyle w:val="Compact"/>
              <w:jc w:val="left"/>
            </w:pPr>
            <w:r>
              <w:t xml:space="preserve">06</w:t>
            </w:r>
          </w:p>
        </w:tc>
        <w:tc>
          <w:tcPr/>
          <w:p>
            <w:pPr>
              <w:pStyle w:val="Compact"/>
              <w:jc w:val="left"/>
            </w:pPr>
            <w:r>
              <w:t xml:space="preserve">Technical report authoring, peer review preparation, and presentation to the Meridian Technologies Group board of directors. The Physicist compiled all findings into a 120-page technical document and delivered a 90-minute executive briefing in Australia Melbourne.</w:t>
            </w:r>
          </w:p>
        </w:tc>
        <w:tc>
          <w:tcPr/>
          <w:p>
            <w:pPr>
              <w:pStyle w:val="Compact"/>
              <w:jc w:val="left"/>
            </w:pPr>
            <w:r>
              <w:t xml:space="preserve">$320.00</w:t>
            </w:r>
          </w:p>
        </w:tc>
        <w:tc>
          <w:tcPr/>
          <w:p>
            <w:pPr>
              <w:pStyle w:val="Compact"/>
              <w:jc w:val="left"/>
            </w:pPr>
            <w:r>
              <w:t xml:space="preserve">24</w:t>
            </w:r>
          </w:p>
        </w:tc>
        <w:tc>
          <w:tcPr/>
          <w:p>
            <w:pPr>
              <w:pStyle w:val="Compact"/>
              <w:jc w:val="left"/>
            </w:pPr>
            <w:r>
              <w:t xml:space="preserve">$7,680.00</w:t>
            </w:r>
          </w:p>
        </w:tc>
        <w:tc>
          <w:tcPr/>
          <w:p>
            <w:pPr>
              <w:pStyle w:val="Compact"/>
              <w:jc w:val="left"/>
            </w:pPr>
            <w:r>
              <w:t xml:space="preserve">$768.00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$58,440.00</w:t>
            </w:r>
          </w:p>
        </w:tc>
      </w:tr>
      <w:tr>
        <w:tc>
          <w:tcPr/>
          <w:p>
            <w:pPr>
              <w:pStyle w:val="Compact"/>
              <w:jc w:val="left"/>
            </w:pPr>
            <w:r>
              <w:t xml:space="preserve">GST (10%)</w:t>
            </w:r>
          </w:p>
        </w:tc>
        <w:tc>
          <w:tcPr/>
          <w:p>
            <w:pPr>
              <w:pStyle w:val="Compact"/>
              <w:jc w:val="left"/>
            </w:pPr>
            <w:r>
              <w:t xml:space="preserve">$5,844.00</w:t>
            </w:r>
          </w:p>
        </w:tc>
      </w:tr>
      <w:tr>
        <w:tc>
          <w:tcPr/>
          <w:p>
            <w:pPr>
              <w:pStyle w:val="Compact"/>
              <w:jc w:val="left"/>
            </w:pPr>
            <w:r>
              <w:t xml:space="preserve">Discount – Long-term Client (5%)</w:t>
            </w:r>
          </w:p>
        </w:tc>
        <w:tc>
          <w:tcPr/>
          <w:p>
            <w:pPr>
              <w:pStyle w:val="Compact"/>
              <w:jc w:val="left"/>
            </w:pPr>
            <w:r>
              <w:t xml:space="preserve">-$2,922.00</w:t>
            </w:r>
          </w:p>
        </w:tc>
      </w:tr>
      <w:tr>
        <w:tc>
          <w:tcPr/>
          <w:p>
            <w:pPr>
              <w:pStyle w:val="Compact"/>
              <w:jc w:val="left"/>
            </w:pPr>
            <w:r>
              <w:t xml:space="preserve">Grand Total (Incl. GST)</w:t>
            </w:r>
          </w:p>
        </w:tc>
        <w:tc>
          <w:tcPr/>
          <w:p>
            <w:pPr>
              <w:pStyle w:val="Compact"/>
              <w:jc w:val="left"/>
            </w:pPr>
            <w:r>
              <w:t xml:space="preserve">$61,362.00</w:t>
            </w:r>
          </w:p>
        </w:tc>
      </w:tr>
    </w:tbl>
    <w:bookmarkStart w:id="22" w:name="invoice-notes-terms"/>
    <w:p>
      <w:pPr>
        <w:pStyle w:val="Heading4"/>
      </w:pPr>
      <w:r>
        <w:t xml:space="preserve">Invoice Notes &amp; Terms</w:t>
      </w:r>
    </w:p>
    <w:p>
      <w:pPr>
        <w:pStyle w:val="FirstParagraph"/>
      </w:pPr>
      <w:r>
        <w:t xml:space="preserve">This Invoice has been prepared by Dr. Eleanor M. Ashworth, a registered Physicist operating under the Australian Taxation Office (ATO) Goods and Services Tax (GST) registration. All rates quoted are in Australian Dollars (AUD) and are subject to the 10% GST as mandated by the Australian government for registered businesses operating in Australia Melbourne and the broader state of Victoria.</w:t>
      </w:r>
    </w:p>
    <w:p>
      <w:pPr>
        <w:pStyle w:val="BodyText"/>
      </w:pPr>
      <w:r>
        <w:t xml:space="preserve">The Physicist services detailed above were rendered in accordance with the Master Services Agreement (MSA) dated 15 December 2024 between Ashworth Quantum Dynamics Pty Ltd and Meridian Technologies Group Ltd. All intellectual property generated during the engagement period remains the sole property of the client, as stipulated in Section 7.3 of the MSA.</w:t>
      </w:r>
    </w:p>
    <w:p>
      <w:pPr>
        <w:pStyle w:val="BodyText"/>
      </w:pPr>
      <w:r>
        <w:t xml:space="preserve">Please note that this Invoice is valid for payment within thirty (30) calendar days of the Invoice date. Late payments will incur interest at the rate of 2% per month, in compliance with the Australian Consumer Law and the Victorian Fair Trading Act 1999. The Physicist reserves the right to suspend ongoing services if payment is not received by the due date specified above.</w:t>
      </w:r>
    </w:p>
    <w:p>
      <w:pPr>
        <w:pStyle w:val="BodyText"/>
      </w:pPr>
      <w:r>
        <w:t xml:space="preserve">All work performed by the Physicist adheres to the Australian Standards for scientific research and the ethical guidelines set forth by the Australian Academy of Science. The Physicist maintains professional indemnity insurance with a coverage limit of AUD $10,000,000, as required for all independent consultants operating in Australia Melbourne.</w:t>
      </w:r>
    </w:p>
    <w:bookmarkEnd w:id="22"/>
    <w:bookmarkStart w:id="23" w:name="payment-details"/>
    <w:p>
      <w:pPr>
        <w:pStyle w:val="Heading4"/>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Ashworth Quantum Dynamics Pty Ltd</w:t>
      </w:r>
    </w:p>
    <w:p>
      <w:pPr>
        <w:pStyle w:val="BodyText"/>
      </w:pPr>
      <w:r>
        <w:rPr>
          <w:bCs/>
          <w:b/>
        </w:rPr>
        <w:t xml:space="preserve">BSB:</w:t>
      </w:r>
      <w:r>
        <w:t xml:space="preserve"> </w:t>
      </w:r>
      <w:r>
        <w:t xml:space="preserve">063-100</w:t>
      </w:r>
    </w:p>
    <w:p>
      <w:pPr>
        <w:pStyle w:val="BodyText"/>
      </w:pPr>
      <w:r>
        <w:rPr>
          <w:bCs/>
          <w:b/>
        </w:rPr>
        <w:t xml:space="preserve">Account Number:</w:t>
      </w:r>
      <w:r>
        <w:t xml:space="preserve"> </w:t>
      </w:r>
      <w:r>
        <w:t xml:space="preserve">1234 5678 901</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INV-2025-AUS-MEL-0047</w:t>
      </w:r>
    </w:p>
    <w:p>
      <w:pPr>
        <w:pStyle w:val="BodyText"/>
      </w:pPr>
      <w:r>
        <w:t xml:space="preserve">Please ensure the Invoice number is included as a reference when processing payment. For any queries regarding this Invoice or the Physicist services rendered, please contact the undersigned directly at the email or telephone number provided above. All correspondence regarding this Invoice should reference the Invoice number for accurate record-keeping.</w:t>
      </w:r>
    </w:p>
    <w:bookmarkEnd w:id="23"/>
    <w:p>
      <w:pPr>
        <w:pStyle w:val="BodyText"/>
      </w:pPr>
      <w:r>
        <w:t xml:space="preserve">This Invoice was generated electronically and is valid without a physical signature. Ashworth Quantum Dynamics Pty Ltd is a registered company in the state of Victoria, Australia Melbourne, and is subject to the jurisdiction of the Victorian Supreme Court.</w:t>
      </w:r>
    </w:p>
    <w:p>
      <w:pPr>
        <w:pStyle w:val="BodyText"/>
      </w:pPr>
      <w:r>
        <w:t xml:space="preserve">© 2025 Ashworth Quantum Dynamics Pty Ltd | ABN 48 291 736 502 | All rights reserved.</w:t>
      </w:r>
    </w:p>
    <w:p>
      <w:pPr>
        <w:pStyle w:val="BodyText"/>
      </w:pPr>
      <w:r>
        <w:t xml:space="preserve">Thank you for your business. We look forward to continuing our professional relationship as your trusted Physicist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Quantum Dynamics Research Services - Australia Melbourne</dc:title>
  <dc:creator/>
  <dc:language>en</dc:language>
  <cp:keywords/>
  <dcterms:created xsi:type="dcterms:W3CDTF">2026-10-10T02:09:36Z</dcterms:created>
  <dcterms:modified xsi:type="dcterms:W3CDTF">2026-10-10T02:09:36Z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