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p>
      <w:pPr>
        <w:pStyle w:val="FirstParagraph"/>
      </w:pPr>
      <w:r>
        <w:t xml:space="preserve">INVOICE</w:t>
      </w:r>
    </w:p>
    <w:p>
      <w:pPr>
        <w:pStyle w:val="BodyText"/>
      </w:pPr>
      <w:r>
        <w:t xml:space="preserve">Professional Physicist Consulting Services</w:t>
      </w:r>
    </w:p>
    <w:p>
      <w:pPr>
        <w:pStyle w:val="BodyText"/>
      </w:pPr>
      <w:r>
        <w:t xml:space="preserve">PAID - CONFIRMED</w:t>
      </w:r>
    </w:p>
    <w:bookmarkStart w:id="20" w:name="invoice-details"/>
    <w:p>
      <w:pPr>
        <w:pStyle w:val="Heading3"/>
      </w:pPr>
      <w:r>
        <w:t xml:space="preserve">Invoice Details</w:t>
      </w:r>
    </w:p>
    <w:p>
      <w:pPr>
        <w:pStyle w:val="FirstParagraph"/>
      </w:pPr>
      <w:r>
        <w:rPr>
          <w:bCs/>
          <w:b/>
        </w:rPr>
        <w:t xml:space="preserve">Invoice No:</w:t>
      </w:r>
      <w:r>
        <w:t xml:space="preserve"> </w:t>
      </w:r>
      <w:r>
        <w:t xml:space="preserve">EAA-PHY-2025-0047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Location:</w:t>
      </w:r>
      <w:r>
        <w:t xml:space="preserve"> </w:t>
      </w:r>
      <w:r>
        <w:t xml:space="preserve">Ethiopia Addis Ababa</w:t>
      </w:r>
    </w:p>
    <w:bookmarkEnd w:id="20"/>
    <w:bookmarkStart w:id="21" w:name="issued-by-service-provider"/>
    <w:p>
      <w:pPr>
        <w:pStyle w:val="Heading4"/>
      </w:pPr>
      <w:r>
        <w:t xml:space="preserve">Issued By (Service Provider)</w:t>
      </w:r>
    </w:p>
    <w:p>
      <w:pPr>
        <w:pStyle w:val="FirstParagraph"/>
      </w:pPr>
      <w:r>
        <w:rPr>
          <w:bCs/>
          <w:b/>
        </w:rPr>
        <w:t xml:space="preserve">Dr. Alemayehu Tadesse, Ph.D.</w:t>
      </w:r>
    </w:p>
    <w:p>
      <w:pPr>
        <w:pStyle w:val="BodyText"/>
      </w:pPr>
      <w:r>
        <w:t xml:space="preserve">Senior Physicist &amp; Research Consultant</w:t>
      </w:r>
    </w:p>
    <w:p>
      <w:pPr>
        <w:pStyle w:val="BodyText"/>
      </w:pPr>
      <w:r>
        <w:t xml:space="preserve">Quantum Dynamics &amp; Applied Physics Division</w:t>
      </w:r>
    </w:p>
    <w:p>
      <w:pPr>
        <w:pStyle w:val="BodyText"/>
      </w:pPr>
      <w:r>
        <w:t xml:space="preserve">Addis Ababa Science &amp; Technology Park</w:t>
      </w:r>
    </w:p>
    <w:p>
      <w:pPr>
        <w:pStyle w:val="BodyText"/>
      </w:pPr>
      <w:r>
        <w:t xml:space="preserve">Bole Sub-City, Ethiopia Addis Ababa</w:t>
      </w:r>
    </w:p>
    <w:p>
      <w:pPr>
        <w:pStyle w:val="BodyText"/>
      </w:pPr>
      <w:r>
        <w:t xml:space="preserve">Tel: +251-11-555-0142</w:t>
      </w:r>
    </w:p>
    <w:p>
      <w:pPr>
        <w:pStyle w:val="BodyText"/>
      </w:pPr>
      <w:r>
        <w:t xml:space="preserve">Email: a.tadesse@eaa-physics.et</w:t>
      </w:r>
    </w:p>
    <w:p>
      <w:pPr>
        <w:pStyle w:val="BodyText"/>
      </w:pPr>
      <w:r>
        <w:t xml:space="preserve">TIN: ET-4478-2291-003</w:t>
      </w:r>
    </w:p>
    <w:bookmarkEnd w:id="21"/>
    <w:bookmarkStart w:id="22" w:name="bill-to-client"/>
    <w:p>
      <w:pPr>
        <w:pStyle w:val="Heading4"/>
      </w:pPr>
      <w:r>
        <w:t xml:space="preserve">Bill To (Client)</w:t>
      </w:r>
    </w:p>
    <w:p>
      <w:pPr>
        <w:pStyle w:val="FirstParagraph"/>
      </w:pPr>
      <w:r>
        <w:rPr>
          <w:bCs/>
          <w:b/>
        </w:rPr>
        <w:t xml:space="preserve">Ethiopian Institute of Technology (EIT)</w:t>
      </w:r>
    </w:p>
    <w:p>
      <w:pPr>
        <w:pStyle w:val="BodyText"/>
      </w:pPr>
      <w:r>
        <w:t xml:space="preserve">Department of Nuclear &amp; Particle Physics</w:t>
      </w:r>
    </w:p>
    <w:p>
      <w:pPr>
        <w:pStyle w:val="BodyText"/>
      </w:pPr>
      <w:r>
        <w:t xml:space="preserve">P.O. Box 663, Ethiopia Addis Ababa</w:t>
      </w:r>
    </w:p>
    <w:p>
      <w:pPr>
        <w:pStyle w:val="BodyText"/>
      </w:pPr>
      <w:r>
        <w:t xml:space="preserve">Tel: +251-11-662-3300</w:t>
      </w:r>
    </w:p>
    <w:p>
      <w:pPr>
        <w:pStyle w:val="BodyText"/>
      </w:pPr>
      <w:r>
        <w:t xml:space="preserve">Email: procurement@eit.edu.et</w:t>
      </w:r>
    </w:p>
    <w:p>
      <w:pPr>
        <w:pStyle w:val="BodyText"/>
      </w:pPr>
      <w:r>
        <w:t xml:space="preserve">TIN: ET-9912-4456-001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Physicist Services</w:t>
            </w:r>
          </w:p>
        </w:tc>
        <w:tc>
          <w:tcPr/>
          <w:p>
            <w:pPr>
              <w:pStyle w:val="Compact"/>
              <w:jc w:val="left"/>
            </w:pPr>
            <w:r>
              <w:t xml:space="preserve">Rate (ETB)</w:t>
            </w:r>
          </w:p>
        </w:tc>
        <w:tc>
          <w:tcPr/>
          <w:p>
            <w:pPr>
              <w:pStyle w:val="Compact"/>
              <w:jc w:val="left"/>
            </w:pPr>
            <w:r>
              <w:t xml:space="preserve">Qty / Hrs</w:t>
            </w:r>
          </w:p>
        </w:tc>
        <w:tc>
          <w:tcPr/>
          <w:p>
            <w:pPr>
              <w:pStyle w:val="Compact"/>
              <w:jc w:val="left"/>
            </w:pPr>
            <w:r>
              <w:t xml:space="preserve">Unit</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Advanced Quantum Mechanics Research Consultation – Design and optimization of particle accelerator simulation models for the EIT Nuclear Physics Laboratory, Ethiopia Addis Ababa</w:t>
            </w:r>
          </w:p>
        </w:tc>
        <w:tc>
          <w:tcPr/>
          <w:p>
            <w:pPr>
              <w:pStyle w:val="Compact"/>
              <w:jc w:val="left"/>
            </w:pPr>
            <w:r>
              <w:t xml:space="preserve">8,500.00</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340,000.00</w:t>
            </w:r>
          </w:p>
        </w:tc>
      </w:tr>
      <w:tr>
        <w:tc>
          <w:tcPr/>
          <w:p>
            <w:pPr>
              <w:pStyle w:val="Compact"/>
              <w:jc w:val="left"/>
            </w:pPr>
            <w:r>
              <w:t xml:space="preserve">2</w:t>
            </w:r>
          </w:p>
        </w:tc>
        <w:tc>
          <w:tcPr/>
          <w:p>
            <w:pPr>
              <w:pStyle w:val="Compact"/>
              <w:jc w:val="left"/>
            </w:pPr>
            <w:r>
              <w:t xml:space="preserve">Thermodynamics &amp; Energy Systems Audit – Comprehensive evaluation of thermal energy conversion systems at the Addis Ababa Geothermal Research Station, Ethiopia Addis Ababa</w:t>
            </w:r>
          </w:p>
        </w:tc>
        <w:tc>
          <w:tcPr/>
          <w:p>
            <w:pPr>
              <w:pStyle w:val="Compact"/>
              <w:jc w:val="left"/>
            </w:pPr>
            <w:r>
              <w:t xml:space="preserve">6,200.00</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148,800.00</w:t>
            </w:r>
          </w:p>
        </w:tc>
      </w:tr>
      <w:tr>
        <w:tc>
          <w:tcPr/>
          <w:p>
            <w:pPr>
              <w:pStyle w:val="Compact"/>
              <w:jc w:val="left"/>
            </w:pPr>
            <w:r>
              <w:t xml:space="preserve">3</w:t>
            </w:r>
          </w:p>
        </w:tc>
        <w:tc>
          <w:tcPr/>
          <w:p>
            <w:pPr>
              <w:pStyle w:val="Compact"/>
              <w:jc w:val="left"/>
            </w:pPr>
            <w:r>
              <w:t xml:space="preserve">Academic Curriculum Development – Designing a 12-week Applied Physics module for graduate students, including laboratory protocols and assessment frameworks</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Peer Review &amp; Technical Advisory – Review of three research manuscripts submitted to the Ethiopian Journal of Physics, with detailed feedback and revision recommendations</w:t>
            </w:r>
          </w:p>
        </w:tc>
        <w:tc>
          <w:tcPr/>
          <w:p>
            <w:pPr>
              <w:pStyle w:val="Compact"/>
              <w:jc w:val="left"/>
            </w:pPr>
            <w:r>
              <w:t xml:space="preserve">4,500.00</w:t>
            </w:r>
          </w:p>
        </w:tc>
        <w:tc>
          <w:tcPr/>
          <w:p>
            <w:pPr>
              <w:pStyle w:val="Compact"/>
              <w:jc w:val="left"/>
            </w:pPr>
            <w:r>
              <w:t xml:space="preserve">3</w:t>
            </w:r>
          </w:p>
        </w:tc>
        <w:tc>
          <w:tcPr/>
          <w:p>
            <w:pPr>
              <w:pStyle w:val="Compact"/>
              <w:jc w:val="left"/>
            </w:pPr>
            <w:r>
              <w:t xml:space="preserve">Documents</w:t>
            </w:r>
          </w:p>
        </w:tc>
        <w:tc>
          <w:tcPr/>
          <w:p>
            <w:pPr>
              <w:pStyle w:val="Compact"/>
              <w:jc w:val="left"/>
            </w:pPr>
            <w:r>
              <w:t xml:space="preserve">13,500.00</w:t>
            </w:r>
          </w:p>
        </w:tc>
      </w:tr>
      <w:tr>
        <w:tc>
          <w:tcPr/>
          <w:p>
            <w:pPr>
              <w:pStyle w:val="Compact"/>
              <w:jc w:val="left"/>
            </w:pPr>
            <w:r>
              <w:t xml:space="preserve">5</w:t>
            </w:r>
          </w:p>
        </w:tc>
        <w:tc>
          <w:tcPr/>
          <w:p>
            <w:pPr>
              <w:pStyle w:val="Compact"/>
              <w:jc w:val="left"/>
            </w:pPr>
            <w:r>
              <w:t xml:space="preserve">On-Site Laboratory Calibration – Calibration and verification of spectrometry equipment at the EIT Physics Department, Bole, Ethiopia Addis Ababa (including travel and setup)</w:t>
            </w:r>
          </w:p>
        </w:tc>
        <w:tc>
          <w:tcPr/>
          <w:p>
            <w:pPr>
              <w:pStyle w:val="Compact"/>
              <w:jc w:val="left"/>
            </w:pPr>
            <w:r>
              <w:t xml:space="preserve">15,000.00</w:t>
            </w:r>
          </w:p>
        </w:tc>
        <w:tc>
          <w:tcPr/>
          <w:p>
            <w:pPr>
              <w:pStyle w:val="Compact"/>
              <w:jc w:val="left"/>
            </w:pPr>
            <w:r>
              <w:t xml:space="preserve">2</w:t>
            </w:r>
          </w:p>
        </w:tc>
        <w:tc>
          <w:tcPr/>
          <w:p>
            <w:pPr>
              <w:pStyle w:val="Compact"/>
              <w:jc w:val="left"/>
            </w:pPr>
            <w:r>
              <w:t xml:space="preserve">Days</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Workshop Facilitation – "Frontiers in Condensed Matter Physics" two-day workshop for 45 faculty and postgraduate students, Ethiopia Addis Ababa</w:t>
            </w:r>
          </w:p>
        </w:tc>
        <w:tc>
          <w:tcPr/>
          <w:p>
            <w:pPr>
              <w:pStyle w:val="Compact"/>
              <w:jc w:val="left"/>
            </w:pPr>
            <w:r>
              <w:t xml:space="preserve">25,000.00</w:t>
            </w:r>
          </w:p>
        </w:tc>
        <w:tc>
          <w:tcPr/>
          <w:p>
            <w:pPr>
              <w:pStyle w:val="Compact"/>
              <w:jc w:val="left"/>
            </w:pPr>
            <w:r>
              <w:t xml:space="preserve">1</w:t>
            </w:r>
          </w:p>
        </w:tc>
        <w:tc>
          <w:tcPr/>
          <w:p>
            <w:pPr>
              <w:pStyle w:val="Compact"/>
              <w:jc w:val="left"/>
            </w:pPr>
            <w:r>
              <w:t xml:space="preserve">Event</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569,300.00 ETB</w:t>
            </w:r>
          </w:p>
        </w:tc>
      </w:tr>
      <w:tr>
        <w:tc>
          <w:tcPr/>
          <w:p>
            <w:pPr>
              <w:pStyle w:val="Compact"/>
              <w:jc w:val="left"/>
            </w:pPr>
            <w:r>
              <w:t xml:space="preserve">VAT (15% – Ethiopian Revenue Authority)</w:t>
            </w:r>
          </w:p>
        </w:tc>
        <w:tc>
          <w:tcPr/>
          <w:p>
            <w:pPr>
              <w:pStyle w:val="Compact"/>
              <w:jc w:val="left"/>
            </w:pPr>
            <w:r>
              <w:t xml:space="preserve">85,395.00 ETB</w:t>
            </w:r>
          </w:p>
        </w:tc>
      </w:tr>
      <w:tr>
        <w:tc>
          <w:tcPr/>
          <w:p>
            <w:pPr>
              <w:pStyle w:val="Compact"/>
              <w:jc w:val="left"/>
            </w:pPr>
            <w:r>
              <w:t xml:space="preserve">Withholding Tax (2%)</w:t>
            </w:r>
          </w:p>
        </w:tc>
        <w:tc>
          <w:tcPr/>
          <w:p>
            <w:pPr>
              <w:pStyle w:val="Compact"/>
              <w:jc w:val="left"/>
            </w:pPr>
            <w:r>
              <w:t xml:space="preserve">(11,386.00) ETB</w:t>
            </w:r>
          </w:p>
        </w:tc>
      </w:tr>
      <w:tr>
        <w:tc>
          <w:tcPr/>
          <w:p>
            <w:pPr>
              <w:pStyle w:val="Compact"/>
              <w:jc w:val="left"/>
            </w:pPr>
            <w:r>
              <w:t xml:space="preserve">Grand Total Due</w:t>
            </w:r>
          </w:p>
        </w:tc>
        <w:tc>
          <w:tcPr/>
          <w:p>
            <w:pPr>
              <w:pStyle w:val="Compact"/>
              <w:jc w:val="left"/>
            </w:pPr>
            <w:r>
              <w:t xml:space="preserve">643,309.00 ETB</w:t>
            </w:r>
          </w:p>
        </w:tc>
      </w:tr>
    </w:tbl>
    <w:bookmarkStart w:id="23" w:name="invoice-notes-payment-instructions"/>
    <w:p>
      <w:pPr>
        <w:pStyle w:val="Heading4"/>
      </w:pPr>
      <w:r>
        <w:t xml:space="preserve">Invoice Notes &amp; Payment Instructions</w:t>
      </w:r>
    </w:p>
    <w:p>
      <w:pPr>
        <w:pStyle w:val="FirstParagraph"/>
      </w:pPr>
      <w:r>
        <w:rPr>
          <w:bCs/>
          <w:b/>
        </w:rPr>
        <w:t xml:space="preserve">Payment Method:</w:t>
      </w:r>
      <w:r>
        <w:t xml:space="preserve"> </w:t>
      </w:r>
      <w:r>
        <w:t xml:space="preserve">Bank Transfer to Commercial Bank of Ethiopia, Account No. 1000-4456-7788-99, Branch: Bole, Ethiopia Addis Ababa.</w:t>
      </w:r>
    </w:p>
    <w:p>
      <w:pPr>
        <w:pStyle w:val="BodyText"/>
      </w:pPr>
      <w:r>
        <w:rPr>
          <w:bCs/>
          <w:b/>
        </w:rPr>
        <w:t xml:space="preserve">Reference:</w:t>
      </w:r>
      <w:r>
        <w:t xml:space="preserve"> </w:t>
      </w:r>
      <w:r>
        <w:t xml:space="preserve">Please cite Invoice No. EAA-PHY-2025-0047 in all payment communications.</w:t>
      </w:r>
    </w:p>
    <w:p>
      <w:pPr>
        <w:pStyle w:val="BodyText"/>
      </w:pPr>
      <w:r>
        <w:rPr>
          <w:bCs/>
          <w:b/>
        </w:rPr>
        <w:t xml:space="preserve">Payment Terms:</w:t>
      </w:r>
      <w:r>
        <w:t xml:space="preserve"> </w:t>
      </w:r>
      <w:r>
        <w:t xml:space="preserve">Full payment is due within 15 calendar days from the issue date. Late payments are subject to a 2% monthly surcharge as per Ethiopian commercial law.</w:t>
      </w:r>
    </w:p>
    <w:p>
      <w:pPr>
        <w:pStyle w:val="BodyText"/>
      </w:pPr>
      <w:r>
        <w:rPr>
          <w:bCs/>
          <w:b/>
        </w:rPr>
        <w:t xml:space="preserve">Currency:</w:t>
      </w:r>
      <w:r>
        <w:t xml:space="preserve"> </w:t>
      </w:r>
      <w:r>
        <w:t xml:space="preserve">All amounts are denominated in Ethiopian Birr (ETB). For international remittance, the equivalent in USD shall be calculated at the National Bank of Ethiopia's daily reference rate on the date of payment.</w:t>
      </w:r>
    </w:p>
    <w:p>
      <w:pPr>
        <w:pStyle w:val="BodyText"/>
      </w:pPr>
      <w:r>
        <w:rPr>
          <w:bCs/>
          <w:b/>
        </w:rPr>
        <w:t xml:space="preserve">Tax Compliance:</w:t>
      </w:r>
      <w:r>
        <w:t xml:space="preserve"> </w:t>
      </w:r>
      <w:r>
        <w:t xml:space="preserve">This Invoice has been issued in accordance with the Ethiopian Revenue and Customs Authority (ERCA) regulations. A stamped copy of this Invoice must be submitted to the ERCA office in Ethiopia Addis Ababa within 30 days.</w:t>
      </w:r>
    </w:p>
    <w:bookmarkEnd w:id="23"/>
    <w:bookmarkStart w:id="24" w:name="terms-conditions-of-service"/>
    <w:p>
      <w:pPr>
        <w:pStyle w:val="Heading4"/>
      </w:pPr>
      <w:r>
        <w:t xml:space="preserve">Terms &amp; Conditions of Service</w:t>
      </w:r>
    </w:p>
    <w:p>
      <w:pPr>
        <w:pStyle w:val="FirstParagraph"/>
      </w:pPr>
      <w:r>
        <w:t xml:space="preserve">1. This Invoice represents the final and complete billing for all Physicist consulting, research, and academic services rendered during the stated service period. No additional charges shall apply unless a written amendment to the original service agreement is executed by both parties.</w:t>
      </w:r>
    </w:p>
    <w:p>
      <w:pPr>
        <w:pStyle w:val="BodyText"/>
      </w:pPr>
      <w:r>
        <w:t xml:space="preserve">2. All intellectual property, research data, simulation models, and curriculum materials developed under this engagement remain the property of the client (EIT) upon full settlement of this Invoice. The Physicist retains the right to reference the work in academic publications with prior written consent.</w:t>
      </w:r>
    </w:p>
    <w:p>
      <w:pPr>
        <w:pStyle w:val="BodyText"/>
      </w:pPr>
      <w:r>
        <w:t xml:space="preserve">3. The Physicist guarantees that all technical advice, laboratory calibrations, and research consultations provided in Ethiopia Addis Ababa conform to international standards set by the International Union of Pure and Applied Physics (IUPAP) and local Ethiopian regulatory requirements.</w:t>
      </w:r>
    </w:p>
    <w:p>
      <w:pPr>
        <w:pStyle w:val="BodyText"/>
      </w:pPr>
      <w:r>
        <w:t xml:space="preserve">4. Disputes arising from this Invoice or the underlying service agreement shall be resolved through mediation at the Addis Ababa Chamber of Commerce, and failing that, through the competent courts of Ethiopia Addis Ababa in accordance with the Civil Code of Ethiopia.</w:t>
      </w:r>
    </w:p>
    <w:p>
      <w:pPr>
        <w:pStyle w:val="BodyText"/>
      </w:pPr>
      <w:r>
        <w:t xml:space="preserve">5. This Invoice is valid for 90 days from the issue date. If payment is not received within this period, the Physicist reserves the right to suspend all ongoing services and pursue collection through legal channels.</w:t>
      </w:r>
    </w:p>
    <w:bookmarkEnd w:id="24"/>
    <w:p>
      <w:pPr>
        <w:pStyle w:val="BodyText"/>
      </w:pPr>
      <w:r>
        <w:rPr>
          <w:bCs/>
          <w:b/>
        </w:rPr>
        <w:t xml:space="preserve">Dr. Alemayehu Tadesse, Ph.D.</w:t>
      </w:r>
      <w:r>
        <w:t xml:space="preserve"> </w:t>
      </w:r>
      <w:r>
        <w:t xml:space="preserve">– Senior Physicist &amp; Research Consultant | Ethiopia Addis Ababa</w:t>
      </w:r>
    </w:p>
    <w:p>
      <w:pPr>
        <w:pStyle w:val="BodyText"/>
      </w:pPr>
      <w:r>
        <w:t xml:space="preserve">This Invoice was generated electronically and is valid without a physical signature. For verification, contact the issuer at the address above.</w:t>
      </w:r>
    </w:p>
    <w:p>
      <w:pPr>
        <w:pStyle w:val="BodyText"/>
      </w:pPr>
      <w:r>
        <w:t xml:space="preserve">© 2025 EAA Physics Consulting. All rights reserved. | Document Ref: EAA-PHY-2025-0047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Ethiopia Addis Ababa</dc:title>
  <dc:creator/>
  <dc:language>en</dc:language>
  <cp:keywords/>
  <dcterms:created xsi:type="dcterms:W3CDTF">2026-10-10T02:16:36Z</dcterms:created>
  <dcterms:modified xsi:type="dcterms:W3CDTF">2026-10-10T02:16:36Z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