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Frankfurt,</w:t>
      </w:r>
      <w:r>
        <w:t xml:space="preserve"> </w:t>
      </w:r>
      <w:r>
        <w:t xml:space="preserve">Germany</w:t>
      </w:r>
    </w:p>
    <w:p>
      <w:pPr>
        <w:pStyle w:val="FirstParagraph"/>
      </w:pPr>
      <w:r>
        <w:t xml:space="preserve">Invoice</w:t>
      </w:r>
    </w:p>
    <w:p>
      <w:pPr>
        <w:pStyle w:val="BodyText"/>
      </w:pPr>
      <w:r>
        <w:t xml:space="preserve">Professional Physics Consulting &amp; Research Services</w:t>
      </w:r>
    </w:p>
    <w:p>
      <w:pPr>
        <w:pStyle w:val="BodyText"/>
      </w:pPr>
      <w:r>
        <w:t xml:space="preserve">Physicist – Frankfurt, Germany</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INV-2025-FRA-0047</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w:t>
      </w:r>
    </w:p>
    <w:p>
      <w:pPr>
        <w:pStyle w:val="BodyText"/>
      </w:pPr>
      <w:r>
        <w:rPr>
          <w:bCs/>
          <w:b/>
        </w:rPr>
        <w:t xml:space="preserve">Country of Issue:</w:t>
      </w:r>
      <w:r>
        <w:t xml:space="preserve"> </w:t>
      </w:r>
      <w:r>
        <w:t xml:space="preserve">Germany Frankfurt</w:t>
      </w:r>
    </w:p>
    <w:bookmarkEnd w:id="20"/>
    <w:bookmarkStart w:id="21" w:name="issued-by-physicist"/>
    <w:p>
      <w:pPr>
        <w:pStyle w:val="Heading4"/>
      </w:pPr>
      <w:r>
        <w:t xml:space="preserve">Issued By (Physicist)</w:t>
      </w:r>
    </w:p>
    <w:p>
      <w:pPr>
        <w:pStyle w:val="FirstParagraph"/>
      </w:pPr>
      <w:r>
        <w:t xml:space="preserve">Dr. Heinrich Vogel, PhD (Theoretical Physics)</w:t>
      </w:r>
    </w:p>
    <w:p>
      <w:pPr>
        <w:pStyle w:val="BodyText"/>
      </w:pPr>
      <w:r>
        <w:t xml:space="preserve">Independent Physicist &amp; Research Consultant</w:t>
      </w:r>
    </w:p>
    <w:p>
      <w:pPr>
        <w:pStyle w:val="BodyText"/>
      </w:pPr>
      <w:r>
        <w:t xml:space="preserve">Goethestraße 42, 3rd Floor</w:t>
      </w:r>
    </w:p>
    <w:p>
      <w:pPr>
        <w:pStyle w:val="BodyText"/>
      </w:pPr>
      <w:r>
        <w:t xml:space="preserve">60313 Frankfurt am Main</w:t>
      </w:r>
    </w:p>
    <w:p>
      <w:pPr>
        <w:pStyle w:val="BodyText"/>
      </w:pPr>
      <w:r>
        <w:t xml:space="preserve">Germany Frankfurt, Hesse</w:t>
      </w:r>
    </w:p>
    <w:p>
      <w:pPr>
        <w:pStyle w:val="BodyText"/>
      </w:pPr>
      <w:r>
        <w:rPr>
          <w:bCs/>
          <w:b/>
        </w:rPr>
        <w:t xml:space="preserve">USt-IdNr.:</w:t>
      </w:r>
      <w:r>
        <w:t xml:space="preserve"> </w:t>
      </w:r>
      <w:r>
        <w:t xml:space="preserve">DE 318 456 721</w:t>
      </w:r>
    </w:p>
    <w:p>
      <w:pPr>
        <w:pStyle w:val="BodyText"/>
      </w:pPr>
      <w:r>
        <w:rPr>
          <w:bCs/>
          <w:b/>
        </w:rPr>
        <w:t xml:space="preserve">Steuernummer:</w:t>
      </w:r>
      <w:r>
        <w:t xml:space="preserve"> </w:t>
      </w:r>
      <w:r>
        <w:t xml:space="preserve">053/218/45678</w:t>
      </w:r>
    </w:p>
    <w:p>
      <w:pPr>
        <w:pStyle w:val="BodyText"/>
      </w:pPr>
      <w:r>
        <w:rPr>
          <w:bCs/>
          <w:b/>
        </w:rPr>
        <w:t xml:space="preserve">Email:</w:t>
      </w:r>
      <w:r>
        <w:t xml:space="preserve"> </w:t>
      </w:r>
      <w:r>
        <w:t xml:space="preserve">h.vogel@physik-frankfurt.de</w:t>
      </w:r>
    </w:p>
    <w:p>
      <w:pPr>
        <w:pStyle w:val="BodyText"/>
      </w:pPr>
      <w:r>
        <w:rPr>
          <w:bCs/>
          <w:b/>
        </w:rPr>
        <w:t xml:space="preserve">Phone:</w:t>
      </w:r>
      <w:r>
        <w:t xml:space="preserve"> </w:t>
      </w:r>
      <w:r>
        <w:t xml:space="preserve">+49 69 555 0182</w:t>
      </w:r>
    </w:p>
    <w:bookmarkEnd w:id="21"/>
    <w:bookmarkStart w:id="22" w:name="billed-to-client"/>
    <w:p>
      <w:pPr>
        <w:pStyle w:val="Heading4"/>
      </w:pPr>
      <w:r>
        <w:t xml:space="preserve">Billed To (Client)</w:t>
      </w:r>
    </w:p>
    <w:p>
      <w:pPr>
        <w:pStyle w:val="FirstParagraph"/>
      </w:pPr>
      <w:r>
        <w:t xml:space="preserve">Meridian Energy Solutions GmbH</w:t>
      </w:r>
    </w:p>
    <w:p>
      <w:pPr>
        <w:pStyle w:val="BodyText"/>
      </w:pPr>
      <w:r>
        <w:t xml:space="preserve">Attn: Dr. Sabine Krüger, Chief Technology Officer</w:t>
      </w:r>
    </w:p>
    <w:p>
      <w:pPr>
        <w:pStyle w:val="BodyText"/>
      </w:pPr>
      <w:r>
        <w:t xml:space="preserve">Bockenheimer Landstraße 118</w:t>
      </w:r>
    </w:p>
    <w:p>
      <w:pPr>
        <w:pStyle w:val="BodyText"/>
      </w:pPr>
      <w:r>
        <w:t xml:space="preserve">60323 Frankfurt am Main</w:t>
      </w:r>
    </w:p>
    <w:p>
      <w:pPr>
        <w:pStyle w:val="BodyText"/>
      </w:pPr>
      <w:r>
        <w:t xml:space="preserve">Germany Frankfurt, Hesse</w:t>
      </w:r>
    </w:p>
    <w:p>
      <w:pPr>
        <w:pStyle w:val="BodyText"/>
      </w:pPr>
      <w:r>
        <w:rPr>
          <w:bCs/>
          <w:b/>
        </w:rPr>
        <w:t xml:space="preserve">USt-IdNr.:</w:t>
      </w:r>
      <w:r>
        <w:t xml:space="preserve"> </w:t>
      </w:r>
      <w:r>
        <w:t xml:space="preserve">DE 294 781 335</w:t>
      </w:r>
    </w:p>
    <w:p>
      <w:pPr>
        <w:pStyle w:val="BodyText"/>
      </w:pPr>
      <w:r>
        <w:rPr>
          <w:bCs/>
          <w:b/>
        </w:rPr>
        <w:t xml:space="preserve">HRB:</w:t>
      </w:r>
      <w:r>
        <w:t xml:space="preserve"> </w:t>
      </w:r>
      <w:r>
        <w:t xml:space="preserve">Frankfurt HRB 88412</w:t>
      </w:r>
    </w:p>
    <w:p>
      <w:pPr>
        <w:pStyle w:val="BodyText"/>
      </w:pPr>
      <w:r>
        <w:rPr>
          <w:bCs/>
          <w:b/>
        </w:rPr>
        <w:t xml:space="preserve">Email:</w:t>
      </w:r>
      <w:r>
        <w:t xml:space="preserve"> </w:t>
      </w:r>
      <w:r>
        <w:t xml:space="preserve">s.krueger@meridian-energy.de</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Rendered by Physicist</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Advanced quantum field theory analysis for next-generation photovoltaic cell efficiency modelling. The Physicist conducted a comprehensive review of existing literature and developed a novel perturbative framework to predict carrier recombination rates under varying irradiance conditions specific to the Frankfurt, Germany climate zone.</w:t>
            </w:r>
          </w:p>
        </w:tc>
        <w:tc>
          <w:tcPr/>
          <w:p>
            <w:pPr>
              <w:pStyle w:val="Compact"/>
              <w:jc w:val="left"/>
            </w:pPr>
            <w:r>
              <w:t xml:space="preserve">02 Jun – 06 Jun 2025</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02</w:t>
            </w:r>
          </w:p>
        </w:tc>
        <w:tc>
          <w:tcPr/>
          <w:p>
            <w:pPr>
              <w:pStyle w:val="Compact"/>
              <w:jc w:val="left"/>
            </w:pPr>
            <w:r>
              <w:t xml:space="preserve">Thermodynamic feasibility study and entropy analysis for the proposed solid-state battery thermal management system. The Physicist performed first-principles calculations using density functional theory to evaluate phase-transition behaviour at operating temperatures relevant to the Germany Frankfurt industrial deployment site.</w:t>
            </w:r>
          </w:p>
        </w:tc>
        <w:tc>
          <w:tcPr/>
          <w:p>
            <w:pPr>
              <w:pStyle w:val="Compact"/>
              <w:jc w:val="left"/>
            </w:pPr>
            <w:r>
              <w:t xml:space="preserve">09 Jun – 11 Jun 2025</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03</w:t>
            </w:r>
          </w:p>
        </w:tc>
        <w:tc>
          <w:tcPr/>
          <w:p>
            <w:pPr>
              <w:pStyle w:val="Compact"/>
              <w:jc w:val="left"/>
            </w:pPr>
            <w:r>
              <w:t xml:space="preserve">On-site consultation and laboratory calibration support at the Meridian Energy Solutions facility in Frankfurt am Main. The Physicist provided hands-on guidance for spectrometer alignment, validated measurement protocols against NIST traceable standards, and delivered a written calibration certificate compliant with German DIN EN ISO 17025 requirements.</w:t>
            </w:r>
          </w:p>
        </w:tc>
        <w:tc>
          <w:tcPr/>
          <w:p>
            <w:pPr>
              <w:pStyle w:val="Compact"/>
              <w:jc w:val="left"/>
            </w:pPr>
            <w:r>
              <w:t xml:space="preserve">12 Jun 2025</w:t>
            </w:r>
          </w:p>
        </w:tc>
        <w:tc>
          <w:tcPr/>
          <w:p>
            <w:pPr>
              <w:pStyle w:val="Compact"/>
              <w:jc w:val="left"/>
            </w:pPr>
            <w:r>
              <w:t xml:space="preserve">8</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04</w:t>
            </w:r>
          </w:p>
        </w:tc>
        <w:tc>
          <w:tcPr/>
          <w:p>
            <w:pPr>
              <w:pStyle w:val="Compact"/>
              <w:jc w:val="left"/>
            </w:pPr>
            <w:r>
              <w:t xml:space="preserve">Preparation of a peer-review-ready technical white paper summarising all findings from the quantum and thermodynamic analyses. The document includes full mathematical derivations, simulation code appendices, and a risk-assessment matrix tailored for regulatory submission to the German Federal Network Agency (Bundesnetzagentur) in Frankfurt.</w:t>
            </w:r>
          </w:p>
        </w:tc>
        <w:tc>
          <w:tcPr/>
          <w:p>
            <w:pPr>
              <w:pStyle w:val="Compact"/>
              <w:jc w:val="left"/>
            </w:pPr>
            <w:r>
              <w:t xml:space="preserve">13 Jun 2025</w:t>
            </w:r>
          </w:p>
        </w:tc>
        <w:tc>
          <w:tcPr/>
          <w:p>
            <w:pPr>
              <w:pStyle w:val="Compact"/>
              <w:jc w:val="left"/>
            </w:pPr>
            <w:r>
              <w:t xml:space="preserve">16</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05</w:t>
            </w:r>
          </w:p>
        </w:tc>
        <w:tc>
          <w:tcPr/>
          <w:p>
            <w:pPr>
              <w:pStyle w:val="Compact"/>
              <w:jc w:val="left"/>
            </w:pPr>
            <w:r>
              <w:t xml:space="preserve">Travel and accommodation expenses incurred for the on-site visit to the Germany Frankfurt laboratory. Includes regional rail transport (DB Bahn, 1st class), one night accommodation at a certified business hotel in the Frankfurt Innenstadt district, and per diem in accordance with the German Federal Travel Expenses Act (Bundesreisekostengesetz).</w:t>
            </w:r>
          </w:p>
        </w:tc>
        <w:tc>
          <w:tcPr/>
          <w:p>
            <w:pPr>
              <w:pStyle w:val="Compact"/>
              <w:jc w:val="left"/>
            </w:pPr>
            <w:r>
              <w:t xml:space="preserve">12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342.50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15,342.50 EUR</w:t>
            </w:r>
          </w:p>
        </w:tc>
      </w:tr>
      <w:tr>
        <w:tc>
          <w:tcPr/>
          <w:p>
            <w:pPr>
              <w:pStyle w:val="Compact"/>
              <w:jc w:val="left"/>
            </w:pPr>
            <w:r>
              <w:t xml:space="preserve">VAT (Umsatzsteuer) – 19% (Germany Frankfurt, Hesse)</w:t>
            </w:r>
          </w:p>
        </w:tc>
        <w:tc>
          <w:tcPr/>
          <w:p>
            <w:pPr>
              <w:pStyle w:val="Compact"/>
              <w:jc w:val="left"/>
            </w:pPr>
            <w:r>
              <w:t xml:space="preserve">2,915.08 EUR</w:t>
            </w:r>
          </w:p>
        </w:tc>
      </w:tr>
      <w:tr>
        <w:tc>
          <w:tcPr/>
          <w:p>
            <w:pPr>
              <w:pStyle w:val="Compact"/>
              <w:jc w:val="left"/>
            </w:pPr>
            <w:r>
              <w:t xml:space="preserve">Total Due</w:t>
            </w:r>
          </w:p>
        </w:tc>
        <w:tc>
          <w:tcPr/>
          <w:p>
            <w:pPr>
              <w:pStyle w:val="Compact"/>
              <w:jc w:val="left"/>
            </w:pPr>
            <w:r>
              <w:t xml:space="preserve">18,257.58 EUR</w:t>
            </w:r>
          </w:p>
        </w:tc>
      </w:tr>
    </w:tbl>
    <w:bookmarkStart w:id="23" w:name="notes-payment-instructions"/>
    <w:p>
      <w:pPr>
        <w:pStyle w:val="Heading4"/>
      </w:pPr>
      <w:r>
        <w:t xml:space="preserve">Notes &amp; Payment Instructions</w:t>
      </w:r>
    </w:p>
    <w:p>
      <w:pPr>
        <w:pStyle w:val="FirstParagraph"/>
      </w:pPr>
      <w:r>
        <w:rPr>
          <w:bCs/>
          <w:b/>
        </w:rPr>
        <w:t xml:space="preserve">Bank Details (IBAN):</w:t>
      </w:r>
      <w:r>
        <w:t xml:space="preserve"> </w:t>
      </w:r>
      <w:r>
        <w:t xml:space="preserve">DE89 3704 0044 0532 0130 00</w:t>
      </w:r>
    </w:p>
    <w:p>
      <w:pPr>
        <w:pStyle w:val="BodyText"/>
      </w:pPr>
      <w:r>
        <w:rPr>
          <w:bCs/>
          <w:b/>
        </w:rPr>
        <w:t xml:space="preserve">BIC / SWIFT:</w:t>
      </w:r>
      <w:r>
        <w:t xml:space="preserve"> </w:t>
      </w:r>
      <w:r>
        <w:t xml:space="preserve">COBADEFFXXX (Commerzbank AG, Frankfurt am Main)</w:t>
      </w:r>
    </w:p>
    <w:p>
      <w:pPr>
        <w:pStyle w:val="BodyText"/>
      </w:pPr>
      <w:r>
        <w:rPr>
          <w:bCs/>
          <w:b/>
        </w:rPr>
        <w:t xml:space="preserve">Reference:</w:t>
      </w:r>
      <w:r>
        <w:t xml:space="preserve"> </w:t>
      </w:r>
      <w:r>
        <w:t xml:space="preserve">Please quote Invoice No. INV-2025-FRA-0047 in all correspondence and payment transfers.</w:t>
      </w:r>
    </w:p>
    <w:p>
      <w:pPr>
        <w:pStyle w:val="BodyText"/>
      </w:pPr>
      <w:r>
        <w:rPr>
          <w:bCs/>
          <w:b/>
        </w:rPr>
        <w:t xml:space="preserve">Currency:</w:t>
      </w:r>
      <w:r>
        <w:t xml:space="preserve"> </w:t>
      </w:r>
      <w:r>
        <w:t xml:space="preserve">All amounts are denominated in Euro (EUR). This Invoice is issued in accordance with the German Commercial Code (Handelsgesetzbuch, HGB) § 257 and the applicable provisions of the German Tax Code (Abgabenordnung, AO) § 146.</w:t>
      </w:r>
    </w:p>
    <w:p>
      <w:pPr>
        <w:pStyle w:val="BodyText"/>
      </w:pPr>
      <w:r>
        <w:rPr>
          <w:bCs/>
          <w:b/>
        </w:rPr>
        <w:t xml:space="preserve">Physicist Certification:</w:t>
      </w:r>
      <w:r>
        <w:t xml:space="preserve"> </w:t>
      </w:r>
      <w:r>
        <w:t xml:space="preserve">The undersigned Physicist, Dr. Heinrich Vogel, holds a doctoral degree in Theoretical Physics from the Goethe-Universität Frankfurt am Main and is a registered member of the German Physical Society (Deutsche Physikalische Gesellschaft, DPG), Membership No. DPG-2019-44871.</w:t>
      </w:r>
    </w:p>
    <w:bookmarkEnd w:id="23"/>
    <w:bookmarkStart w:id="24" w:name="Xa990e063b39798bffff01c0828c1292901c9b74"/>
    <w:p>
      <w:pPr>
        <w:pStyle w:val="Heading4"/>
      </w:pPr>
      <w:r>
        <w:t xml:space="preserve">Terms &amp; Conditions – Invoice for Physicist Services in Germany Frankfurt</w:t>
      </w:r>
    </w:p>
    <w:p>
      <w:pPr>
        <w:pStyle w:val="FirstParagraph"/>
      </w:pPr>
      <w:r>
        <w:t xml:space="preserve">1. This Invoice constitutes a binding request for payment for professional physics consulting services rendered by the Physicist named above. All services were performed in accordance with the written engagement contract dated 28 May 2025 (Contract Ref: MES-2025-0091) between the Physicist and Meridian Energy Solutions GmbH.</w:t>
      </w:r>
    </w:p>
    <w:p>
      <w:pPr>
        <w:pStyle w:val="BodyText"/>
      </w:pPr>
      <w:r>
        <w:t xml:space="preserve">2. Payment is due within thirty (30) calendar days of the issue date stated on this Invoice. Late payments shall accrue statutory interest at the rate of eight percentage points (8%) above the European Central Bank base rate, in accordance with § 288 of the German Civil Code (Bürgerliches Gesetzbuch, BGB).</w:t>
      </w:r>
    </w:p>
    <w:p>
      <w:pPr>
        <w:pStyle w:val="BodyText"/>
      </w:pPr>
      <w:r>
        <w:t xml:space="preserve">3. The Physicist warrants that all calculations, simulations, and analytical results delivered under this engagement were performed with due professional diligence and in compliance with the scientific standards prevailing in the field of theoretical and applied physics as of the date of delivery in Germany Frankfurt.</w:t>
      </w:r>
    </w:p>
    <w:p>
      <w:pPr>
        <w:pStyle w:val="BodyText"/>
      </w:pPr>
      <w:r>
        <w:t xml:space="preserve">4. Intellectual property rights in all original derivations, code, and written reports produced by the Physicist under this Invoice transfer to the client upon full and final payment. Until such payment is received, the Physicist retains all rights.</w:t>
      </w:r>
    </w:p>
    <w:p>
      <w:pPr>
        <w:pStyle w:val="BodyText"/>
      </w:pPr>
      <w:r>
        <w:t xml:space="preserve">5. This Invoice is governed by the laws of the Federal Republic of Germany. Any disputes arising from or in connection with this Invoice shall be subject to the exclusive jurisdiction of the competent courts in Frankfurt am Main, Germany Frankfurt, Hesse.</w:t>
      </w:r>
    </w:p>
    <w:p>
      <w:pPr>
        <w:pStyle w:val="BodyText"/>
      </w:pPr>
      <w:r>
        <w:t xml:space="preserve">6. The Physicist confirms that no sub-contracting of the services described in this Invoice has taken place. All work was performed personally by Dr. Heinrich Vogel in his capacity as an independent Physicist operating from his registered office in Frankfurt am Main.</w:t>
      </w:r>
    </w:p>
    <w:bookmarkEnd w:id="24"/>
    <w:p>
      <w:pPr>
        <w:pStyle w:val="BodyText"/>
      </w:pPr>
      <w:r>
        <w:t xml:space="preserve">Invoice INV-2025-FRA-0047  |  Issued by Dr. Heinrich Vogel, Physicist  |  Frankfurt am Main, Germany Frankfurt  |  14 June 2025</w:t>
      </w:r>
    </w:p>
    <w:p>
      <w:pPr>
        <w:pStyle w:val="BodyText"/>
      </w:pPr>
      <w:r>
        <w:t xml:space="preserve">This document is a valid commercial Invoice under German law. For queries, contact the Physicist at h.vogel@physik-frankfurt.de or +49 69 555 0182.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Frankfurt, Germany</dc:title>
  <dc:creator/>
  <dc:language>en</dc:language>
  <cp:keywords/>
  <dcterms:created xsi:type="dcterms:W3CDTF">2026-10-10T02:16:07Z</dcterms:created>
  <dcterms:modified xsi:type="dcterms:W3CDTF">2026-10-10T02:16:07Z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