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Consulting</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Saint Petersburg, Russia</w:t>
      </w:r>
    </w:p>
    <w:bookmarkEnd w:id="20"/>
    <w:p>
      <w:pPr>
        <w:pStyle w:val="BodyText"/>
      </w:pPr>
      <w:r>
        <w:t xml:space="preserve">Invoice Number</w:t>
      </w:r>
    </w:p>
    <w:p>
      <w:pPr>
        <w:pStyle w:val="BodyText"/>
      </w:pPr>
      <w:r>
        <w:t xml:space="preserve">INV-SPB-2025-0047</w:t>
      </w:r>
    </w:p>
    <w:p>
      <w:pPr>
        <w:pStyle w:val="BodyText"/>
      </w:pPr>
      <w:r>
        <w:t xml:space="preserve">Date of Issue</w:t>
      </w:r>
    </w:p>
    <w:p>
      <w:pPr>
        <w:pStyle w:val="BodyText"/>
      </w:pPr>
      <w:r>
        <w:t xml:space="preserve">14 June 2025</w:t>
      </w:r>
    </w:p>
    <w:p>
      <w:pPr>
        <w:pStyle w:val="BodyText"/>
      </w:pPr>
      <w:r>
        <w:t xml:space="preserve">Due Date</w:t>
      </w:r>
    </w:p>
    <w:p>
      <w:pPr>
        <w:pStyle w:val="BodyText"/>
      </w:pPr>
      <w:r>
        <w:t xml:space="preserve">14 July 2025</w:t>
      </w:r>
    </w:p>
    <w:p>
      <w:pPr>
        <w:pStyle w:val="BodyText"/>
      </w:pPr>
      <w:r>
        <w:t xml:space="preserve">Currency</w:t>
      </w:r>
    </w:p>
    <w:p>
      <w:pPr>
        <w:pStyle w:val="BodyText"/>
      </w:pPr>
      <w:r>
        <w:t xml:space="preserve">Russian Ruble (RUB)</w:t>
      </w:r>
    </w:p>
    <w:bookmarkStart w:id="21" w:name="service-provider-physicist"/>
    <w:p>
      <w:pPr>
        <w:pStyle w:val="Heading3"/>
      </w:pPr>
      <w:r>
        <w:t xml:space="preserve">Service Provider (Physicist)</w:t>
      </w:r>
    </w:p>
    <w:p>
      <w:pPr>
        <w:pStyle w:val="FirstParagraph"/>
      </w:pPr>
      <w:r>
        <w:rPr>
          <w:bCs/>
          <w:b/>
        </w:rPr>
        <w:t xml:space="preserve">Dr. Alexander V. Petrov, PhD in Theoretical Physics</w:t>
      </w:r>
    </w:p>
    <w:p>
      <w:pPr>
        <w:pStyle w:val="BodyText"/>
      </w:pPr>
      <w:r>
        <w:t xml:space="preserve">Independent Physicist &amp; Research Consultant</w:t>
      </w:r>
    </w:p>
    <w:p>
      <w:pPr>
        <w:pStyle w:val="BodyText"/>
      </w:pPr>
      <w:r>
        <w:t xml:space="preserve">12 Vasilyevsky Island Embankment, Building 4, Apt. 217</w:t>
      </w:r>
    </w:p>
    <w:p>
      <w:pPr>
        <w:pStyle w:val="BodyText"/>
      </w:pPr>
      <w:r>
        <w:t xml:space="preserve">Saint Petersburg, 199034, Russia</w:t>
      </w:r>
    </w:p>
    <w:p>
      <w:pPr>
        <w:pStyle w:val="BodyText"/>
      </w:pPr>
      <w:r>
        <w:t xml:space="preserve">Tax ID (INN): 7805432109</w:t>
      </w:r>
    </w:p>
    <w:p>
      <w:pPr>
        <w:pStyle w:val="BodyText"/>
      </w:pPr>
      <w:r>
        <w:t xml:space="preserve">Phone: +7 (812) 555-0147</w:t>
      </w:r>
    </w:p>
    <w:p>
      <w:pPr>
        <w:pStyle w:val="BodyText"/>
      </w:pPr>
      <w:r>
        <w:t xml:space="preserve">Email: a.petrov.physics@spb-consult.ru</w:t>
      </w:r>
    </w:p>
    <w:bookmarkEnd w:id="21"/>
    <w:bookmarkStart w:id="22" w:name="client-bill-to"/>
    <w:p>
      <w:pPr>
        <w:pStyle w:val="Heading3"/>
      </w:pPr>
      <w:r>
        <w:t xml:space="preserve">Client (Bill To)</w:t>
      </w:r>
    </w:p>
    <w:p>
      <w:pPr>
        <w:pStyle w:val="FirstParagraph"/>
      </w:pPr>
      <w:r>
        <w:rPr>
          <w:bCs/>
          <w:b/>
        </w:rPr>
        <w:t xml:space="preserve">AO "Nevsky Advanced Technologies"</w:t>
      </w:r>
    </w:p>
    <w:p>
      <w:pPr>
        <w:pStyle w:val="BodyText"/>
      </w:pPr>
      <w:r>
        <w:t xml:space="preserve">Attn: Chief Technology Officer, Ms. Irina S. Volkova</w:t>
      </w:r>
    </w:p>
    <w:p>
      <w:pPr>
        <w:pStyle w:val="BodyText"/>
      </w:pPr>
      <w:r>
        <w:t xml:space="preserve">45 Liteyny Avenue, Building 2, Floor 12</w:t>
      </w:r>
    </w:p>
    <w:p>
      <w:pPr>
        <w:pStyle w:val="BodyText"/>
      </w:pPr>
      <w:r>
        <w:t xml:space="preserve">Saint Petersburg, 191024, Russia</w:t>
      </w:r>
    </w:p>
    <w:p>
      <w:pPr>
        <w:pStyle w:val="BodyText"/>
      </w:pPr>
      <w:r>
        <w:t xml:space="preserve">Tax ID (INN): 7811234567</w:t>
      </w:r>
    </w:p>
    <w:p>
      <w:pPr>
        <w:pStyle w:val="BodyText"/>
      </w:pPr>
      <w:r>
        <w:t xml:space="preserve">Phone: +7 (812) 313-8890</w:t>
      </w:r>
    </w:p>
    <w:p>
      <w:pPr>
        <w:pStyle w:val="BodyText"/>
      </w:pPr>
      <w:r>
        <w:t xml:space="preserve">Email: procurement@nevsky-tech.ru</w:t>
      </w:r>
    </w:p>
    <w:bookmarkEnd w:id="22"/>
    <w:bookmarkStart w:id="24" w:name="X8a92c60d32fd69ad7847619f8ea482b56b1747f"/>
    <w:p>
      <w:pPr>
        <w:pStyle w:val="Heading2"/>
      </w:pPr>
      <w:r>
        <w:t xml:space="preserve">Description of Services Rendered by the Physicist</w:t>
      </w:r>
    </w:p>
    <w:p>
      <w:pPr>
        <w:pStyle w:val="FirstParagraph"/>
      </w:pPr>
      <w:r>
        <w:t xml:space="preserve">The following invoice covers professional services provided by the undersigned Physicist to the client in Saint Petersburg, Russia, during the period of 1 May 2025 through 13 June 2025. All work was conducted in accordance with the Service Agreement dated 28 April 2025 (Contract No. NVT-SPB-2025-019) and complies with applicable Russian Federation regulations governing professional consulting engagements.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(RUB/hr)</w:t>
            </w:r>
          </w:p>
        </w:tc>
        <w:tc>
          <w:tcPr/>
          <w:p>
            <w:pPr>
              <w:pStyle w:val="Compact"/>
              <w:jc w:val="left"/>
            </w:pPr>
            <w:r>
              <w:t xml:space="preserve">Hours</w:t>
            </w:r>
          </w:p>
        </w:tc>
        <w:tc>
          <w:tcPr/>
          <w:p>
            <w:pPr>
              <w:pStyle w:val="Compact"/>
              <w:jc w:val="left"/>
            </w:pPr>
            <w:r>
              <w:t xml:space="preserve">Amount (RUB)</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Quantum mechanics modeling and simulation for next-generation semiconductor design; preparation of theoretical framework for the client's R&amp;D division in Saint Petersburg.</w:t>
            </w:r>
          </w:p>
        </w:tc>
        <w:tc>
          <w:tcPr/>
          <w:p>
            <w:pPr>
              <w:pStyle w:val="Compact"/>
              <w:jc w:val="left"/>
            </w:pPr>
            <w:r>
              <w:t xml:space="preserve">4,500</w:t>
            </w:r>
          </w:p>
        </w:tc>
        <w:tc>
          <w:tcPr/>
          <w:p>
            <w:pPr>
              <w:pStyle w:val="Compact"/>
              <w:jc w:val="left"/>
            </w:pPr>
            <w:r>
              <w:t xml:space="preserve">32</w:t>
            </w:r>
          </w:p>
        </w:tc>
        <w:tc>
          <w:tcPr/>
          <w:p>
            <w:pPr>
              <w:pStyle w:val="Compact"/>
              <w:jc w:val="left"/>
            </w:pPr>
            <w:r>
              <w:t xml:space="preserve">144,000.00</w:t>
            </w:r>
          </w:p>
        </w:tc>
        <w:tc>
          <w:tcPr/>
          <w:p>
            <w:pPr>
              <w:pStyle w:val="Compact"/>
              <w:jc w:val="left"/>
            </w:pPr>
            <w:r>
              <w:t xml:space="preserve">05–12 May 2025</w:t>
            </w:r>
          </w:p>
        </w:tc>
      </w:tr>
      <w:tr>
        <w:tc>
          <w:tcPr/>
          <w:p>
            <w:pPr>
              <w:pStyle w:val="Compact"/>
              <w:jc w:val="left"/>
            </w:pPr>
            <w:r>
              <w:t xml:space="preserve">2</w:t>
            </w:r>
          </w:p>
        </w:tc>
        <w:tc>
          <w:tcPr/>
          <w:p>
            <w:pPr>
              <w:pStyle w:val="Compact"/>
              <w:jc w:val="left"/>
            </w:pPr>
            <w:r>
              <w:t xml:space="preserve">Thermodynamic analysis and heat-transfer optimization for industrial reactor systems; on-site consultation at the client's laboratory facility on Liteyny Avenue, Saint Petersburg.</w:t>
            </w:r>
          </w:p>
        </w:tc>
        <w:tc>
          <w:tcPr/>
          <w:p>
            <w:pPr>
              <w:pStyle w:val="Compact"/>
              <w:jc w:val="left"/>
            </w:pPr>
            <w:r>
              <w:t xml:space="preserve">4,500</w:t>
            </w:r>
          </w:p>
        </w:tc>
        <w:tc>
          <w:tcPr/>
          <w:p>
            <w:pPr>
              <w:pStyle w:val="Compact"/>
              <w:jc w:val="left"/>
            </w:pPr>
            <w:r>
              <w:t xml:space="preserve">24</w:t>
            </w:r>
          </w:p>
        </w:tc>
        <w:tc>
          <w:tcPr/>
          <w:p>
            <w:pPr>
              <w:pStyle w:val="Compact"/>
              <w:jc w:val="left"/>
            </w:pPr>
            <w:r>
              <w:t xml:space="preserve">108,000.00</w:t>
            </w:r>
          </w:p>
        </w:tc>
        <w:tc>
          <w:tcPr/>
          <w:p>
            <w:pPr>
              <w:pStyle w:val="Compact"/>
              <w:jc w:val="left"/>
            </w:pPr>
            <w:r>
              <w:t xml:space="preserve">19–26 May 2025</w:t>
            </w:r>
          </w:p>
        </w:tc>
      </w:tr>
      <w:tr>
        <w:tc>
          <w:tcPr/>
          <w:p>
            <w:pPr>
              <w:pStyle w:val="Compact"/>
              <w:jc w:val="left"/>
            </w:pPr>
            <w:r>
              <w:t xml:space="preserve">3</w:t>
            </w:r>
          </w:p>
        </w:tc>
        <w:tc>
          <w:tcPr/>
          <w:p>
            <w:pPr>
              <w:pStyle w:val="Compact"/>
              <w:jc w:val="left"/>
            </w:pPr>
            <w:r>
              <w:t xml:space="preserve">Preparation of a comprehensive technical report on electromagnetic compatibility for the client's proposed satellite communication array; peer-reviewed by two independent physicists at Saint Petersburg State University.</w:t>
            </w:r>
          </w:p>
        </w:tc>
        <w:tc>
          <w:tcPr/>
          <w:p>
            <w:pPr>
              <w:pStyle w:val="Compact"/>
              <w:jc w:val="left"/>
            </w:pPr>
            <w:r>
              <w:t xml:space="preserve">5,200</w:t>
            </w:r>
          </w:p>
        </w:tc>
        <w:tc>
          <w:tcPr/>
          <w:p>
            <w:pPr>
              <w:pStyle w:val="Compact"/>
              <w:jc w:val="left"/>
            </w:pPr>
            <w:r>
              <w:t xml:space="preserve">40</w:t>
            </w:r>
          </w:p>
        </w:tc>
        <w:tc>
          <w:tcPr/>
          <w:p>
            <w:pPr>
              <w:pStyle w:val="Compact"/>
              <w:jc w:val="left"/>
            </w:pPr>
            <w:r>
              <w:t xml:space="preserve">208,000.00</w:t>
            </w:r>
          </w:p>
        </w:tc>
        <w:tc>
          <w:tcPr/>
          <w:p>
            <w:pPr>
              <w:pStyle w:val="Compact"/>
              <w:jc w:val="left"/>
            </w:pPr>
            <w:r>
              <w:t xml:space="preserve">02–16 May 2025</w:t>
            </w:r>
          </w:p>
        </w:tc>
      </w:tr>
      <w:tr>
        <w:tc>
          <w:tcPr/>
          <w:p>
            <w:pPr>
              <w:pStyle w:val="Compact"/>
              <w:jc w:val="left"/>
            </w:pPr>
            <w:r>
              <w:t xml:space="preserve">4</w:t>
            </w:r>
          </w:p>
        </w:tc>
        <w:tc>
          <w:tcPr/>
          <w:p>
            <w:pPr>
              <w:pStyle w:val="Compact"/>
              <w:jc w:val="left"/>
            </w:pPr>
            <w:r>
              <w:t xml:space="preserve">Workshop and training session for the client's engineering team (14 participants) on applied statistical physics methods for materials science; conducted at the client's headquarters in Saint Petersburg, Russia.</w:t>
            </w:r>
          </w:p>
        </w:tc>
        <w:tc>
          <w:tcPr/>
          <w:p>
            <w:pPr>
              <w:pStyle w:val="Compact"/>
              <w:jc w:val="left"/>
            </w:pPr>
            <w:r>
              <w:t xml:space="preserve">6,000</w:t>
            </w:r>
          </w:p>
        </w:tc>
        <w:tc>
          <w:tcPr/>
          <w:p>
            <w:pPr>
              <w:pStyle w:val="Compact"/>
              <w:jc w:val="left"/>
            </w:pPr>
            <w:r>
              <w:t xml:space="preserve">12</w:t>
            </w:r>
          </w:p>
        </w:tc>
        <w:tc>
          <w:tcPr/>
          <w:p>
            <w:pPr>
              <w:pStyle w:val="Compact"/>
              <w:jc w:val="left"/>
            </w:pPr>
            <w:r>
              <w:t xml:space="preserve">72,000.00</w:t>
            </w:r>
          </w:p>
        </w:tc>
        <w:tc>
          <w:tcPr/>
          <w:p>
            <w:pPr>
              <w:pStyle w:val="Compact"/>
              <w:jc w:val="left"/>
            </w:pPr>
            <w:r>
              <w:t xml:space="preserve">09 June 2025</w:t>
            </w:r>
          </w:p>
        </w:tc>
      </w:tr>
      <w:tr>
        <w:tc>
          <w:tcPr/>
          <w:p>
            <w:pPr>
              <w:pStyle w:val="Compact"/>
              <w:jc w:val="left"/>
            </w:pPr>
            <w:r>
              <w:t xml:space="preserve">5</w:t>
            </w:r>
          </w:p>
        </w:tc>
        <w:tc>
          <w:tcPr/>
          <w:p>
            <w:pPr>
              <w:pStyle w:val="Compact"/>
              <w:jc w:val="left"/>
            </w:pPr>
            <w:r>
              <w:t xml:space="preserve">Ad-hoc expert consultation via video conference regarding anomalous readings in the client's cryogenic storage systems; emergency response within 48 hours as stipulated in the Service Agreement.</w:t>
            </w:r>
          </w:p>
        </w:tc>
        <w:tc>
          <w:tcPr/>
          <w:p>
            <w:pPr>
              <w:pStyle w:val="Compact"/>
              <w:jc w:val="left"/>
            </w:pPr>
            <w:r>
              <w:t xml:space="preserve">5,500</w:t>
            </w:r>
          </w:p>
        </w:tc>
        <w:tc>
          <w:tcPr/>
          <w:p>
            <w:pPr>
              <w:pStyle w:val="Compact"/>
              <w:jc w:val="left"/>
            </w:pPr>
            <w:r>
              <w:t xml:space="preserve">6</w:t>
            </w:r>
          </w:p>
        </w:tc>
        <w:tc>
          <w:tcPr/>
          <w:p>
            <w:pPr>
              <w:pStyle w:val="Compact"/>
              <w:jc w:val="left"/>
            </w:pPr>
            <w:r>
              <w:t xml:space="preserve">33,000.00</w:t>
            </w:r>
          </w:p>
        </w:tc>
        <w:tc>
          <w:tcPr/>
          <w:p>
            <w:pPr>
              <w:pStyle w:val="Compact"/>
              <w:jc w:val="left"/>
            </w:pPr>
            <w:r>
              <w:t xml:space="preserve">11 June 2025</w:t>
            </w:r>
          </w:p>
        </w:tc>
      </w:tr>
      <w:tr>
        <w:tc>
          <w:tcPr/>
          <w:p>
            <w:pPr>
              <w:pStyle w:val="Compact"/>
              <w:jc w:val="left"/>
            </w:pPr>
            <w:r>
              <w:t xml:space="preserve">6</w:t>
            </w:r>
          </w:p>
        </w:tc>
        <w:tc>
          <w:tcPr/>
          <w:p>
            <w:pPr>
              <w:pStyle w:val="Compact"/>
              <w:jc w:val="left"/>
            </w:pPr>
            <w:r>
              <w:t xml:space="preserve">Final project documentation, data handover, and written summary of all findings delivered to the client's CTO in Saint Petersburg; includes appendices with raw simulation data and methodology notes.</w:t>
            </w:r>
          </w:p>
        </w:tc>
        <w:tc>
          <w:tcPr/>
          <w:p>
            <w:pPr>
              <w:pStyle w:val="Compact"/>
              <w:jc w:val="left"/>
            </w:pPr>
            <w:r>
              <w:t xml:space="preserve">4,000</w:t>
            </w:r>
          </w:p>
        </w:tc>
        <w:tc>
          <w:tcPr/>
          <w:p>
            <w:pPr>
              <w:pStyle w:val="Compact"/>
              <w:jc w:val="left"/>
            </w:pPr>
            <w:r>
              <w:t xml:space="preserve">10</w:t>
            </w:r>
          </w:p>
        </w:tc>
        <w:tc>
          <w:tcPr/>
          <w:p>
            <w:pPr>
              <w:pStyle w:val="Compact"/>
              <w:jc w:val="left"/>
            </w:pPr>
            <w:r>
              <w:t xml:space="preserve">40,000.00</w:t>
            </w:r>
          </w:p>
        </w:tc>
        <w:tc>
          <w:tcPr/>
          <w:p>
            <w:pPr>
              <w:pStyle w:val="Compact"/>
              <w:jc w:val="left"/>
            </w:pPr>
            <w:r>
              <w:t xml:space="preserve">13 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605,000.00 RUB</w:t>
            </w:r>
          </w:p>
        </w:tc>
      </w:tr>
      <w:tr>
        <w:tc>
          <w:tcPr/>
          <w:p>
            <w:pPr>
              <w:pStyle w:val="Compact"/>
              <w:jc w:val="left"/>
            </w:pPr>
            <w:r>
              <w:t xml:space="preserve">VAT (20% per Russian Federation Tax Code)</w:t>
            </w:r>
          </w:p>
        </w:tc>
        <w:tc>
          <w:tcPr/>
          <w:p>
            <w:pPr>
              <w:pStyle w:val="Compact"/>
              <w:jc w:val="right"/>
            </w:pPr>
            <w:r>
              <w:t xml:space="preserve">121,000.00 RUB</w:t>
            </w:r>
          </w:p>
        </w:tc>
      </w:tr>
      <w:tr>
        <w:tc>
          <w:tcPr/>
          <w:p>
            <w:pPr>
              <w:pStyle w:val="Compact"/>
              <w:jc w:val="left"/>
            </w:pPr>
            <w:r>
              <w:t xml:space="preserve">Travel &amp; Accommodation Reimbursement (Saint Petersburg metro area)</w:t>
            </w:r>
          </w:p>
        </w:tc>
        <w:tc>
          <w:tcPr/>
          <w:p>
            <w:pPr>
              <w:pStyle w:val="Compact"/>
              <w:jc w:val="right"/>
            </w:pPr>
            <w:r>
              <w:t xml:space="preserve">12,450.00 RUB</w:t>
            </w:r>
          </w:p>
        </w:tc>
      </w:tr>
      <w:tr>
        <w:tc>
          <w:tcPr/>
          <w:p>
            <w:pPr>
              <w:pStyle w:val="Compact"/>
              <w:jc w:val="left"/>
            </w:pPr>
            <w:r>
              <w:t xml:space="preserve">Grand Total Due</w:t>
            </w:r>
          </w:p>
        </w:tc>
        <w:tc>
          <w:tcPr/>
          <w:p>
            <w:pPr>
              <w:pStyle w:val="Compact"/>
              <w:jc w:val="right"/>
            </w:pPr>
            <w:r>
              <w:t xml:space="preserve">738,450.00 RUB</w:t>
            </w:r>
          </w:p>
        </w:tc>
      </w:tr>
    </w:tbl>
    <w:bookmarkStart w:id="23" w:name="payment-terms-important-notes"/>
    <w:p>
      <w:pPr>
        <w:pStyle w:val="Heading3"/>
      </w:pPr>
      <w:r>
        <w:t xml:space="preserve">Payment Terms &amp; Important Notes</w:t>
      </w:r>
    </w:p>
    <w:p>
      <w:pPr>
        <w:numPr>
          <w:ilvl w:val="0"/>
          <w:numId w:val="1001"/>
        </w:numPr>
        <w:pStyle w:val="Compact"/>
      </w:pPr>
      <w:r>
        <w:rPr>
          <w:bCs/>
          <w:b/>
        </w:rPr>
        <w:t xml:space="preserve">Payment Method:</w:t>
      </w:r>
      <w:r>
        <w:t xml:space="preserve"> </w:t>
      </w:r>
      <w:r>
        <w:t xml:space="preserve">Bank transfer to the Physicist's account at Sberbank, Saint Petersburg branch. Account details: BIK 044030643, Account No. 40802810900000012345, Correspondent Account 30101810500000000643.</w:t>
      </w:r>
    </w:p>
    <w:p>
      <w:pPr>
        <w:numPr>
          <w:ilvl w:val="0"/>
          <w:numId w:val="1001"/>
        </w:numPr>
        <w:pStyle w:val="Compact"/>
      </w:pPr>
      <w:r>
        <w:rPr>
          <w:bCs/>
          <w:b/>
        </w:rPr>
        <w:t xml:space="preserve">Payment Deadline:</w:t>
      </w:r>
      <w:r>
        <w:t xml:space="preserve"> </w:t>
      </w:r>
      <w:r>
        <w:t xml:space="preserve">Full payment of 738,450.00 RUB is due no later than 14 July 2025. Late payments shall accrue interest at 0.1% per calendar day in accordance with Article 317.1 of the Civil Code of the Russian Federation.</w:t>
      </w:r>
    </w:p>
    <w:p>
      <w:pPr>
        <w:numPr>
          <w:ilvl w:val="0"/>
          <w:numId w:val="1001"/>
        </w:numPr>
        <w:pStyle w:val="Compact"/>
      </w:pPr>
      <w:r>
        <w:rPr>
          <w:bCs/>
          <w:b/>
        </w:rPr>
        <w:t xml:space="preserve">Tax Documentation:</w:t>
      </w:r>
      <w:r>
        <w:t xml:space="preserve"> </w:t>
      </w:r>
      <w:r>
        <w:t xml:space="preserve">A formal receipt (kassa chek) and VAT invoice (schet-faktura) will be issued upon confirmation of payment. The client is responsible for any applicable withholding tax obligations under Russian tax law.</w:t>
      </w:r>
    </w:p>
    <w:p>
      <w:pPr>
        <w:numPr>
          <w:ilvl w:val="0"/>
          <w:numId w:val="1001"/>
        </w:numPr>
        <w:pStyle w:val="Compact"/>
      </w:pPr>
      <w:r>
        <w:rPr>
          <w:bCs/>
          <w:b/>
        </w:rPr>
        <w:t xml:space="preserve">Confidentiality:</w:t>
      </w:r>
      <w:r>
        <w:t xml:space="preserve"> </w:t>
      </w:r>
      <w:r>
        <w:t xml:space="preserve">All data, models, and reports delivered under this engagement remain the intellectual property of the client. The Physicist agrees to maintain strict confidentiality in compliance with Federal Law No. 152-FZ on Personal Data and the terms of the executed Non-Disclosure Agreement (NDA-SPB-2025-007).</w:t>
      </w:r>
    </w:p>
    <w:p>
      <w:pPr>
        <w:numPr>
          <w:ilvl w:val="0"/>
          <w:numId w:val="1001"/>
        </w:numPr>
        <w:pStyle w:val="Compact"/>
      </w:pPr>
      <w:r>
        <w:rPr>
          <w:bCs/>
          <w:b/>
        </w:rPr>
        <w:t xml:space="preserve">Dispute Resolution:</w:t>
      </w:r>
      <w:r>
        <w:t xml:space="preserve"> </w:t>
      </w:r>
      <w:r>
        <w:t xml:space="preserve">Any disputes arising from this invoice or the underlying Service Agreement shall be resolved through the Arbitration Court of Saint Petersburg and the Leningrad Region, in accordance with Russian procedural law.</w:t>
      </w:r>
    </w:p>
    <w:p>
      <w:pPr>
        <w:numPr>
          <w:ilvl w:val="0"/>
          <w:numId w:val="1001"/>
        </w:numPr>
        <w:pStyle w:val="Compact"/>
      </w:pPr>
      <w:r>
        <w:rPr>
          <w:bCs/>
          <w:b/>
        </w:rPr>
        <w:t xml:space="preserve">Validity:</w:t>
      </w:r>
      <w:r>
        <w:t xml:space="preserve"> </w:t>
      </w:r>
      <w:r>
        <w:t xml:space="preserve">This invoice is valid for 30 calendar days from the date of issue. After 14 July 2025, the client must request a reissued invoice reflecting any applicable adjustments.</w:t>
      </w:r>
    </w:p>
    <w:bookmarkEnd w:id="23"/>
    <w:p>
      <w:pPr>
        <w:pStyle w:val="FirstParagraph"/>
      </w:pPr>
      <w:r>
        <w:t xml:space="preserve">Prepared and issued by:</w:t>
      </w:r>
    </w:p>
    <w:p>
      <w:pPr>
        <w:pStyle w:val="BodyText"/>
      </w:pPr>
      <w:r>
        <w:t xml:space="preserve">_______________________________</w:t>
      </w:r>
    </w:p>
    <w:p>
      <w:pPr>
        <w:pStyle w:val="BodyText"/>
      </w:pPr>
      <w:r>
        <w:rPr>
          <w:bCs/>
          <w:b/>
        </w:rPr>
        <w:t xml:space="preserve">Dr. Alexander V. Petrov</w:t>
      </w:r>
    </w:p>
    <w:p>
      <w:pPr>
        <w:pStyle w:val="BodyText"/>
      </w:pPr>
      <w:r>
        <w:t xml:space="preserve">Physicist, Independent Consultant</w:t>
      </w:r>
    </w:p>
    <w:p>
      <w:pPr>
        <w:pStyle w:val="BodyText"/>
      </w:pPr>
      <w:r>
        <w:t xml:space="preserve">Saint Petersburg, Russia</w:t>
      </w:r>
    </w:p>
    <w:p>
      <w:pPr>
        <w:pStyle w:val="BodyText"/>
      </w:pPr>
      <w:r>
        <w:t xml:space="preserve">Accepted by (Client):</w:t>
      </w:r>
    </w:p>
    <w:p>
      <w:pPr>
        <w:pStyle w:val="BodyText"/>
      </w:pPr>
      <w:r>
        <w:t xml:space="preserve">_______________________________</w:t>
      </w:r>
    </w:p>
    <w:p>
      <w:pPr>
        <w:pStyle w:val="BodyText"/>
      </w:pPr>
      <w:r>
        <w:rPr>
          <w:bCs/>
          <w:b/>
        </w:rPr>
        <w:t xml:space="preserve">Ms. Irina S. Volkova</w:t>
      </w:r>
    </w:p>
    <w:p>
      <w:pPr>
        <w:pStyle w:val="BodyText"/>
      </w:pPr>
      <w:r>
        <w:t xml:space="preserve">CTO, AO "Nevsky Advanced Technologies"</w:t>
      </w:r>
    </w:p>
    <w:p>
      <w:pPr>
        <w:pStyle w:val="BodyText"/>
      </w:pPr>
      <w:r>
        <w:t xml:space="preserve">Saint Petersburg, Russia</w:t>
      </w:r>
    </w:p>
    <w:p>
      <w:pPr>
        <w:pStyle w:val="BodyText"/>
      </w:pPr>
      <w:r>
        <w:rPr>
          <w:bCs/>
          <w:b/>
        </w:rPr>
        <w:t xml:space="preserve">Invoice INV-SPB-2025-0047</w:t>
      </w:r>
      <w:r>
        <w:t xml:space="preserve"> </w:t>
      </w:r>
      <w:r>
        <w:t xml:space="preserve">| Issued in Saint Petersburg, Russia | 14 June 2025</w:t>
      </w:r>
    </w:p>
    <w:p>
      <w:pPr>
        <w:pStyle w:val="BodyText"/>
      </w:pPr>
      <w:r>
        <w:t xml:space="preserve">This document constitutes a legally binding invoice for professional physics consulting services rendered in the Russian Federation.</w:t>
      </w:r>
    </w:p>
    <w:p>
      <w:pPr>
        <w:pStyle w:val="BodyText"/>
      </w:pPr>
      <w:r>
        <w:t xml:space="preserve">For questions regarding this invoice, please contact the Physicist at a.petrov.physics@spb-consult.ru or +7 (812) 555-0147.</w:t>
      </w:r>
    </w:p>
    <w:p>
      <w:pPr>
        <w:pStyle w:val="BodyText"/>
      </w:pPr>
      <w:r>
        <w:t xml:space="preserve">© 2025 Dr. A.V. Petrov, Independent Physicist. All rights reserved. Registered in Saint Petersburg,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Consulting Services - Saint Petersburg, Russia</dc:title>
  <dc:creator/>
  <dc:language>en</dc:language>
  <cp:keywords/>
  <dcterms:created xsi:type="dcterms:W3CDTF">2026-10-10T03:50:05Z</dcterms:created>
  <dcterms:modified xsi:type="dcterms:W3CDTF">2026-10-10T03:50:05Z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