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Dr.</w:t>
      </w:r>
      <w:r>
        <w:t xml:space="preserve"> </w:t>
      </w:r>
      <w:r>
        <w:t xml:space="preserve">Khalid</w:t>
      </w:r>
      <w:r>
        <w:t xml:space="preserve"> </w:t>
      </w:r>
      <w:r>
        <w:t xml:space="preserve">Al-Rashid,</w:t>
      </w:r>
      <w:r>
        <w:t xml:space="preserve"> </w:t>
      </w:r>
      <w:r>
        <w:t xml:space="preserve">Physicist</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invoice"/>
    <w:p>
      <w:pPr>
        <w:pStyle w:val="Heading1"/>
      </w:pPr>
      <w:r>
        <w:t xml:space="preserve">INVOICE</w:t>
      </w:r>
    </w:p>
    <w:p>
      <w:pPr>
        <w:pStyle w:val="FirstParagraph"/>
      </w:pPr>
      <w:r>
        <w:t xml:space="preserve">Professional Physics Consulting &amp; Research Services</w:t>
      </w:r>
    </w:p>
    <w:bookmarkEnd w:id="20"/>
    <w:bookmarkStart w:id="21" w:name="dr.-khalid-al-rashid-ph.d."/>
    <w:p>
      <w:pPr>
        <w:pStyle w:val="Heading2"/>
      </w:pPr>
      <w:r>
        <w:t xml:space="preserve">Dr. Khalid Al-Rashid, Ph.D.</w:t>
      </w:r>
    </w:p>
    <w:p>
      <w:pPr>
        <w:pStyle w:val="FirstParagraph"/>
      </w:pPr>
      <w:r>
        <w:t xml:space="preserve">Senior Physicist &amp; Quantum Research Consultant</w:t>
      </w:r>
    </w:p>
    <w:p>
      <w:pPr>
        <w:pStyle w:val="BodyText"/>
      </w:pPr>
      <w:r>
        <w:t xml:space="preserve">Office 412, Kingdom Tower, Olaya District</w:t>
      </w:r>
    </w:p>
    <w:p>
      <w:pPr>
        <w:pStyle w:val="BodyText"/>
      </w:pPr>
      <w:r>
        <w:t xml:space="preserve">Riyadh 12212, Saudi Arabia</w:t>
      </w:r>
    </w:p>
    <w:p>
      <w:pPr>
        <w:pStyle w:val="BodyText"/>
      </w:pPr>
      <w:r>
        <w:t xml:space="preserve">Tel: +966 11 456 7890</w:t>
      </w:r>
    </w:p>
    <w:p>
      <w:pPr>
        <w:pStyle w:val="BodyText"/>
      </w:pPr>
      <w:r>
        <w:t xml:space="preserve">Email: k.alrashid@physconsult.sa</w:t>
      </w:r>
    </w:p>
    <w:p>
      <w:pPr>
        <w:pStyle w:val="BodyText"/>
      </w:pPr>
      <w:r>
        <w:t xml:space="preserve">CR: 1010XXXXXX | VAT: 3101XXXXXX</w:t>
      </w:r>
    </w:p>
    <w:bookmarkEnd w:id="21"/>
    <w:bookmarkStart w:id="22" w:name="invoice-details"/>
    <w:p>
      <w:pPr>
        <w:pStyle w:val="Heading3"/>
      </w:pPr>
      <w:r>
        <w:t xml:space="preserve">Invoice Details</w:t>
      </w:r>
    </w:p>
    <w:p>
      <w:pPr>
        <w:pStyle w:val="FirstParagraph"/>
      </w:pPr>
      <w:r>
        <w:rPr>
          <w:bCs/>
          <w:b/>
        </w:rPr>
        <w:t xml:space="preserve">Invoice No:</w:t>
      </w:r>
      <w:r>
        <w:t xml:space="preserve"> </w:t>
      </w:r>
      <w:r>
        <w:t xml:space="preserve">INV-2025-RYD-0047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2"/>
    <w:bookmarkStart w:id="23" w:name="billed-to"/>
    <w:p>
      <w:pPr>
        <w:pStyle w:val="Heading3"/>
      </w:pPr>
      <w:r>
        <w:t xml:space="preserve">Billed To</w:t>
      </w:r>
    </w:p>
    <w:p>
      <w:pPr>
        <w:pStyle w:val="FirstParagraph"/>
      </w:pPr>
      <w:r>
        <w:rPr>
          <w:bCs/>
          <w:b/>
        </w:rPr>
        <w:t xml:space="preserve">Al-Nakheel Advanced Materials Co.</w:t>
      </w:r>
    </w:p>
    <w:p>
      <w:pPr>
        <w:pStyle w:val="BodyText"/>
      </w:pPr>
      <w:r>
        <w:t xml:space="preserve">Attn: Eng. Sarah Al-Otaibi, Procurement Manager</w:t>
      </w:r>
    </w:p>
    <w:p>
      <w:pPr>
        <w:pStyle w:val="BodyText"/>
      </w:pPr>
      <w:r>
        <w:t xml:space="preserve">Building 7, King Abdullah Financial District (KAFD)</w:t>
      </w:r>
    </w:p>
    <w:p>
      <w:pPr>
        <w:pStyle w:val="BodyText"/>
      </w:pPr>
      <w:r>
        <w:t xml:space="preserve">Riyadh 13519, Saudi Arabia</w:t>
      </w:r>
    </w:p>
    <w:p>
      <w:pPr>
        <w:pStyle w:val="BodyText"/>
      </w:pPr>
      <w:r>
        <w:t xml:space="preserve">VAT No: 3102XXXXXX</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Physics Services</w:t>
            </w:r>
          </w:p>
        </w:tc>
        <w:tc>
          <w:tcPr/>
          <w:p>
            <w:pPr>
              <w:pStyle w:val="Compact"/>
              <w:jc w:val="left"/>
            </w:pPr>
            <w:r>
              <w:t xml:space="preserve">Service Category</w:t>
            </w:r>
          </w:p>
        </w:tc>
        <w:tc>
          <w:tcPr/>
          <w:p>
            <w:pPr>
              <w:pStyle w:val="Compact"/>
              <w:jc w:val="left"/>
            </w:pPr>
            <w:r>
              <w:t xml:space="preserve">Hours / Units</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Quantum mechanics feasibility study for next-generation photovoltaic cell design. Includes theoretical modeling of electron band structures and simulation of photon absorption efficiency under Saudi Arabian solar irradiance conditions.</w:t>
            </w:r>
          </w:p>
        </w:tc>
        <w:tc>
          <w:tcPr/>
          <w:p>
            <w:pPr>
              <w:pStyle w:val="Compact"/>
              <w:jc w:val="left"/>
            </w:pPr>
            <w:r>
              <w:t xml:space="preserve">Research Consulting</w:t>
            </w:r>
          </w:p>
        </w:tc>
        <w:tc>
          <w:tcPr/>
          <w:p>
            <w:pPr>
              <w:pStyle w:val="Compact"/>
              <w:jc w:val="left"/>
            </w:pPr>
            <w:r>
              <w:t xml:space="preserve">48 hrs</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Thermodynamic analysis and heat transfer optimization for industrial cooling systems at the client's Riyadh manufacturing facility. The physicist conducted on-site measurements and provided a comprehensive thermal dynamics report.</w:t>
            </w:r>
          </w:p>
        </w:tc>
        <w:tc>
          <w:tcPr/>
          <w:p>
            <w:pPr>
              <w:pStyle w:val="Compact"/>
              <w:jc w:val="left"/>
            </w:pPr>
            <w:r>
              <w:t xml:space="preserve">Applied Physics</w:t>
            </w:r>
          </w:p>
        </w:tc>
        <w:tc>
          <w:tcPr/>
          <w:p>
            <w:pPr>
              <w:pStyle w:val="Compact"/>
              <w:jc w:val="left"/>
            </w:pPr>
            <w:r>
              <w:t xml:space="preserve">32 hrs</w:t>
            </w:r>
          </w:p>
        </w:tc>
        <w:tc>
          <w:tcPr/>
          <w:p>
            <w:pPr>
              <w:pStyle w:val="Compact"/>
              <w:jc w:val="left"/>
            </w:pPr>
            <w:r>
              <w:t xml:space="preserve">1,100.00</w:t>
            </w:r>
          </w:p>
        </w:tc>
        <w:tc>
          <w:tcPr/>
          <w:p>
            <w:pPr>
              <w:pStyle w:val="Compact"/>
              <w:jc w:val="left"/>
            </w:pPr>
            <w:r>
              <w:t xml:space="preserve">35,200.00</w:t>
            </w:r>
          </w:p>
        </w:tc>
      </w:tr>
      <w:tr>
        <w:tc>
          <w:tcPr/>
          <w:p>
            <w:pPr>
              <w:pStyle w:val="Compact"/>
              <w:jc w:val="left"/>
            </w:pPr>
            <w:r>
              <w:t xml:space="preserve">3</w:t>
            </w:r>
          </w:p>
        </w:tc>
        <w:tc>
          <w:tcPr/>
          <w:p>
            <w:pPr>
              <w:pStyle w:val="Compact"/>
              <w:jc w:val="left"/>
            </w:pPr>
            <w:r>
              <w:t xml:space="preserve">Electromagnetic spectrum analysis and signal propagation modeling for the client's 5G infrastructure deployment across the Riyadh metropolitan area. Includes wave equation solutions and antenna array optimization.</w:t>
            </w:r>
          </w:p>
        </w:tc>
        <w:tc>
          <w:tcPr/>
          <w:p>
            <w:pPr>
              <w:pStyle w:val="Compact"/>
              <w:jc w:val="left"/>
            </w:pPr>
            <w:r>
              <w:t xml:space="preserve">Electromagnetics</w:t>
            </w:r>
          </w:p>
        </w:tc>
        <w:tc>
          <w:tcPr/>
          <w:p>
            <w:pPr>
              <w:pStyle w:val="Compact"/>
              <w:jc w:val="left"/>
            </w:pPr>
            <w:r>
              <w:t xml:space="preserve">24 hrs</w:t>
            </w:r>
          </w:p>
        </w:tc>
        <w:tc>
          <w:tcPr/>
          <w:p>
            <w:pPr>
              <w:pStyle w:val="Compact"/>
              <w:jc w:val="left"/>
            </w:pPr>
            <w:r>
              <w:t xml:space="preserve">1,300.00</w:t>
            </w:r>
          </w:p>
        </w:tc>
        <w:tc>
          <w:tcPr/>
          <w:p>
            <w:pPr>
              <w:pStyle w:val="Compact"/>
              <w:jc w:val="left"/>
            </w:pPr>
            <w:r>
              <w:t xml:space="preserve">31,200.00</w:t>
            </w:r>
          </w:p>
        </w:tc>
      </w:tr>
      <w:tr>
        <w:tc>
          <w:tcPr/>
          <w:p>
            <w:pPr>
              <w:pStyle w:val="Compact"/>
              <w:jc w:val="left"/>
            </w:pPr>
            <w:r>
              <w:t xml:space="preserve">4</w:t>
            </w:r>
          </w:p>
        </w:tc>
        <w:tc>
          <w:tcPr/>
          <w:p>
            <w:pPr>
              <w:pStyle w:val="Compact"/>
              <w:jc w:val="left"/>
            </w:pPr>
            <w:r>
              <w:t xml:space="preserve">Preparation of a peer-reviewed technical white paper on nanoscale material properties for submission to the Saudi Arabian Materials Research Journal. The physicist authored, edited, and formatted the full manuscript.</w:t>
            </w:r>
          </w:p>
        </w:tc>
        <w:tc>
          <w:tcPr/>
          <w:p>
            <w:pPr>
              <w:pStyle w:val="Compact"/>
              <w:jc w:val="left"/>
            </w:pPr>
            <w:r>
              <w:t xml:space="preserve">Academic Writing</w:t>
            </w:r>
          </w:p>
        </w:tc>
        <w:tc>
          <w:tcPr/>
          <w:p>
            <w:pPr>
              <w:pStyle w:val="Compact"/>
              <w:jc w:val="left"/>
            </w:pPr>
            <w:r>
              <w:t xml:space="preserve">20 hrs</w:t>
            </w:r>
          </w:p>
        </w:tc>
        <w:tc>
          <w:tcPr/>
          <w:p>
            <w:pPr>
              <w:pStyle w:val="Compact"/>
              <w:jc w:val="left"/>
            </w:pPr>
            <w:r>
              <w:t xml:space="preserve">950.00</w:t>
            </w:r>
          </w:p>
        </w:tc>
        <w:tc>
          <w:tcPr/>
          <w:p>
            <w:pPr>
              <w:pStyle w:val="Compact"/>
              <w:jc w:val="left"/>
            </w:pPr>
            <w:r>
              <w:t xml:space="preserve">19,000.00</w:t>
            </w:r>
          </w:p>
        </w:tc>
      </w:tr>
      <w:tr>
        <w:tc>
          <w:tcPr/>
          <w:p>
            <w:pPr>
              <w:pStyle w:val="Compact"/>
              <w:jc w:val="left"/>
            </w:pPr>
            <w:r>
              <w:t xml:space="preserve">5</w:t>
            </w:r>
          </w:p>
        </w:tc>
        <w:tc>
          <w:tcPr/>
          <w:p>
            <w:pPr>
              <w:pStyle w:val="Compact"/>
              <w:jc w:val="left"/>
            </w:pPr>
            <w:r>
              <w:t xml:space="preserve">On-site physics laboratory calibration and equipment verification at the KAFD research annex. The physicist inspected spectrometers, oscilloscopes, and particle detection arrays, issuing a compliance certificate aligned with Saudi Standards, Metrology and Quality Organization (SASO) regulations.</w:t>
            </w:r>
          </w:p>
        </w:tc>
        <w:tc>
          <w:tcPr/>
          <w:p>
            <w:pPr>
              <w:pStyle w:val="Compact"/>
              <w:jc w:val="left"/>
            </w:pPr>
            <w:r>
              <w:t xml:space="preserve">Laboratory Services</w:t>
            </w:r>
          </w:p>
        </w:tc>
        <w:tc>
          <w:tcPr/>
          <w:p>
            <w:pPr>
              <w:pStyle w:val="Compact"/>
              <w:jc w:val="left"/>
            </w:pPr>
            <w:r>
              <w:t xml:space="preserve">16 hrs</w:t>
            </w:r>
          </w:p>
        </w:tc>
        <w:tc>
          <w:tcPr/>
          <w:p>
            <w:pPr>
              <w:pStyle w:val="Compact"/>
              <w:jc w:val="left"/>
            </w:pPr>
            <w:r>
              <w:t xml:space="preserve">1,050.00</w:t>
            </w:r>
          </w:p>
        </w:tc>
        <w:tc>
          <w:tcPr/>
          <w:p>
            <w:pPr>
              <w:pStyle w:val="Compact"/>
              <w:jc w:val="left"/>
            </w:pPr>
            <w:r>
              <w:t xml:space="preserve">16,800.00</w:t>
            </w:r>
          </w:p>
        </w:tc>
      </w:tr>
      <w:tr>
        <w:tc>
          <w:tcPr/>
          <w:p>
            <w:pPr>
              <w:pStyle w:val="Compact"/>
              <w:jc w:val="left"/>
            </w:pPr>
            <w:r>
              <w:t xml:space="preserve">6</w:t>
            </w:r>
          </w:p>
        </w:tc>
        <w:tc>
          <w:tcPr/>
          <w:p>
            <w:pPr>
              <w:pStyle w:val="Compact"/>
              <w:jc w:val="left"/>
            </w:pPr>
            <w:r>
              <w:t xml:space="preserve">Two-day intensive workshop for the client's engineering team on advanced physics principles applicable to materials science, including crystallography, solid-state physics, and statistical mechanics. Delivered at the client's Riyadh headquarters.</w:t>
            </w:r>
          </w:p>
        </w:tc>
        <w:tc>
          <w:tcPr/>
          <w:p>
            <w:pPr>
              <w:pStyle w:val="Compact"/>
              <w:jc w:val="left"/>
            </w:pPr>
            <w:r>
              <w:t xml:space="preserve">Training &amp; Education</w:t>
            </w:r>
          </w:p>
        </w:tc>
        <w:tc>
          <w:tcPr/>
          <w:p>
            <w:pPr>
              <w:pStyle w:val="Compact"/>
              <w:jc w:val="left"/>
            </w:pPr>
            <w:r>
              <w:t xml:space="preserve">2 days</w:t>
            </w:r>
          </w:p>
        </w:tc>
        <w:tc>
          <w:tcPr/>
          <w:p>
            <w:pPr>
              <w:pStyle w:val="Compact"/>
              <w:jc w:val="left"/>
            </w:pPr>
            <w:r>
              <w:t xml:space="preserve">15,000.00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189,800.00 SAR</w:t>
            </w:r>
          </w:p>
        </w:tc>
      </w:tr>
      <w:tr>
        <w:tc>
          <w:tcPr/>
          <w:p>
            <w:pPr>
              <w:pStyle w:val="Compact"/>
              <w:jc w:val="left"/>
            </w:pPr>
            <w:r>
              <w:t xml:space="preserve">VAT (15% – Saudi Arabia)</w:t>
            </w:r>
          </w:p>
        </w:tc>
        <w:tc>
          <w:tcPr/>
          <w:p>
            <w:pPr>
              <w:pStyle w:val="Compact"/>
              <w:jc w:val="right"/>
            </w:pPr>
            <w:r>
              <w:t xml:space="preserve">28,470.00 SAR</w:t>
            </w:r>
          </w:p>
        </w:tc>
      </w:tr>
      <w:tr>
        <w:tc>
          <w:tcPr/>
          <w:p>
            <w:pPr>
              <w:pStyle w:val="Compact"/>
              <w:jc w:val="left"/>
            </w:pPr>
            <w:r>
              <w:t xml:space="preserve">Grand Total Due</w:t>
            </w:r>
          </w:p>
        </w:tc>
        <w:tc>
          <w:tcPr/>
          <w:p>
            <w:pPr>
              <w:pStyle w:val="Compact"/>
              <w:jc w:val="right"/>
            </w:pPr>
            <w:r>
              <w:t xml:space="preserve">189,800.00 + 28,470.00 = 218,270.00 SAR</w:t>
            </w:r>
          </w:p>
        </w:tc>
      </w:tr>
    </w:tbl>
    <w:bookmarkStart w:id="24" w:name="payment-instructions-terms"/>
    <w:p>
      <w:pPr>
        <w:pStyle w:val="Heading3"/>
      </w:pPr>
      <w:r>
        <w:t xml:space="preserve">Payment Instructions &amp; Terms</w:t>
      </w:r>
    </w:p>
    <w:p>
      <w:pPr>
        <w:pStyle w:val="FirstParagraph"/>
      </w:pPr>
      <w:r>
        <w:rPr>
          <w:bCs/>
          <w:b/>
        </w:rPr>
        <w:t xml:space="preserve">Bank:</w:t>
      </w:r>
      <w:r>
        <w:t xml:space="preserve"> </w:t>
      </w:r>
      <w:r>
        <w:t xml:space="preserve">Saudi National Bank (SNB), Riyadh Main Branch</w:t>
      </w:r>
    </w:p>
    <w:p>
      <w:pPr>
        <w:pStyle w:val="BodyText"/>
      </w:pPr>
      <w:r>
        <w:rPr>
          <w:bCs/>
          <w:b/>
        </w:rPr>
        <w:t xml:space="preserve">Account Name:</w:t>
      </w:r>
      <w:r>
        <w:t xml:space="preserve"> </w:t>
      </w:r>
      <w:r>
        <w:t xml:space="preserve">Dr. Khalid Al-Rashid – Physics Consulting LLC</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SNBLSARI</w:t>
      </w:r>
    </w:p>
    <w:p>
      <w:pPr>
        <w:pStyle w:val="BodyText"/>
      </w:pPr>
      <w:r>
        <w:rPr>
          <w:bCs/>
          <w:b/>
        </w:rPr>
        <w:t xml:space="preserve">Reference:</w:t>
      </w:r>
      <w:r>
        <w:t xml:space="preserve"> </w:t>
      </w:r>
      <w:r>
        <w:t xml:space="preserve">INV-2025-RYD-0047</w:t>
      </w:r>
    </w:p>
    <w:p>
      <w:pPr>
        <w:pStyle w:val="BodyText"/>
      </w:pPr>
      <w:r>
        <w:t xml:space="preserve">Payment is due within fifteen (15) calendar days from the issue date of this invoice. Late payments shall accrue a penalty of 1.5% per month in accordance with the Saudi Arabian Commercial Transactions Law. All amounts are denominated in Saudi Riyals (SAR). This invoice is subject to the 15% Value Added Tax (VAT) as mandated by the Zakat, Tax and Customs Authority (ZATCA) of Saudi Arabia.</w:t>
      </w:r>
    </w:p>
    <w:bookmarkEnd w:id="24"/>
    <w:p>
      <w:pPr>
        <w:pStyle w:val="BodyText"/>
      </w:pPr>
      <w:r>
        <w:rPr>
          <w:bCs/>
          <w:b/>
        </w:rPr>
        <w:t xml:space="preserve">Notes:</w:t>
      </w:r>
      <w:r>
        <w:t xml:space="preserve"> </w:t>
      </w:r>
      <w:r>
        <w:t xml:space="preserve">This invoice covers all physics consulting, research, and laboratory services rendered by Dr. Khalid Al-Rashid, a licensed physicist registered with the Saudi Commission for Health Specialties (SCFHS) and the Saudi Council of Engineers, for the period of 1 June 2025 through 14 June 2025. All theoretical models, simulation data, and analytical reports referenced herein are the intellectual property of the physicist and are licensed for internal use by Al-Nakheel Advanced Materials Co. only. Any reproduction, publication, or commercial exploitation of the physics research findings requires prior written consent. The services were performed in full compliance with the regulations of the Ministry of Industry and Mineral Resources, Kingdom of Saudi Arabia, and all applicable Saudi Arabian labor and professional practice standards.</w:t>
      </w:r>
    </w:p>
    <w:p>
      <w:pPr>
        <w:pStyle w:val="BodyText"/>
      </w:pPr>
      <w:r>
        <w:t xml:space="preserve">Dr. Khalid Al-Rashid, Ph.D. – Senior Physicist &amp; Quantum Research Consultant | Riyadh, Saudi Arabia</w:t>
      </w:r>
    </w:p>
    <w:p>
      <w:pPr>
        <w:pStyle w:val="BodyText"/>
      </w:pPr>
      <w:r>
        <w:t xml:space="preserve">CR: 1010XXXXXX | Commercial Registration with the Ministry of Commerce, Riyadh | VAT Registered: 3101XXXXXX</w:t>
      </w:r>
    </w:p>
    <w:p>
      <w:pPr>
        <w:pStyle w:val="BodyText"/>
      </w:pPr>
      <w:r>
        <w:t xml:space="preserve">This invoice was generated electronically and is valid without a physical signature in accordance with Saudi Arabian electronic transaction regulations.</w:t>
      </w:r>
    </w:p>
    <w:p>
      <w:pPr>
        <w:pStyle w:val="BodyText"/>
      </w:pPr>
      <w:r>
        <w:t xml:space="preserve">© 2025 Physics Consulting LLC, Riyadh,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Dr. Khalid Al-Rashid, Physicist - Riyadh, Saudi Arabia</dc:title>
  <dc:creator/>
  <dc:language>en</dc:language>
  <cp:keywords/>
  <dcterms:created xsi:type="dcterms:W3CDTF">2026-10-10T04:29:08Z</dcterms:created>
  <dcterms:modified xsi:type="dcterms:W3CDTF">2026-10-10T04:29:08Z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