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INVOICE</w:t>
      </w:r>
    </w:p>
    <w:p>
      <w:pPr>
        <w:pStyle w:val="BodyText"/>
      </w:pPr>
      <w:r>
        <w:t xml:space="preserve">Professional Physicist Services — United States Miami</w:t>
      </w:r>
    </w:p>
    <w:bookmarkStart w:id="20" w:name="invoice-number"/>
    <w:p>
      <w:pPr>
        <w:pStyle w:val="Heading3"/>
      </w:pPr>
      <w:r>
        <w:t xml:space="preserve">Invoice Number:</w:t>
      </w:r>
    </w:p>
    <w:p>
      <w:pPr>
        <w:pStyle w:val="FirstParagraph"/>
      </w:pPr>
      <w:r>
        <w:t xml:space="preserve">INV-2025-MIA-00472</w:t>
      </w:r>
    </w:p>
    <w:bookmarkEnd w:id="20"/>
    <w:bookmarkStart w:id="21" w:name="issue-date"/>
    <w:p>
      <w:pPr>
        <w:pStyle w:val="Heading3"/>
      </w:pPr>
      <w:r>
        <w:t xml:space="preserve">Issue Date:</w:t>
      </w:r>
    </w:p>
    <w:p>
      <w:pPr>
        <w:pStyle w:val="FirstParagraph"/>
      </w:pPr>
      <w:r>
        <w:t xml:space="preserve">June 12, 2025</w:t>
      </w:r>
    </w:p>
    <w:bookmarkEnd w:id="21"/>
    <w:bookmarkStart w:id="22" w:name="due-date"/>
    <w:p>
      <w:pPr>
        <w:pStyle w:val="Heading3"/>
      </w:pPr>
      <w:r>
        <w:t xml:space="preserve">Due Date:</w:t>
      </w:r>
    </w:p>
    <w:p>
      <w:pPr>
        <w:pStyle w:val="FirstParagraph"/>
      </w:pPr>
      <w:r>
        <w:t xml:space="preserve">July 12, 2025</w:t>
      </w:r>
    </w:p>
    <w:p>
      <w:pPr>
        <w:pStyle w:val="BodyText"/>
      </w:pPr>
      <w:r>
        <w:t xml:space="preserve">PENDING PAYMENT</w:t>
      </w:r>
    </w:p>
    <w:bookmarkEnd w:id="22"/>
    <w:bookmarkStart w:id="23" w:name="issued-by-physicist"/>
    <w:p>
      <w:pPr>
        <w:pStyle w:val="Heading3"/>
      </w:pPr>
      <w:r>
        <w:t xml:space="preserve">Issued By (Physicist)</w:t>
      </w:r>
    </w:p>
    <w:p>
      <w:pPr>
        <w:pStyle w:val="FirstParagraph"/>
      </w:pPr>
      <w:r>
        <w:rPr>
          <w:bCs/>
          <w:b/>
        </w:rPr>
        <w:t xml:space="preserve">Dr. Elena Vasquez, Ph.D.</w:t>
      </w:r>
    </w:p>
    <w:p>
      <w:pPr>
        <w:pStyle w:val="BodyText"/>
      </w:pPr>
      <w:r>
        <w:t xml:space="preserve">Senior Physicist &amp; Quantum Research Consultant</w:t>
      </w:r>
    </w:p>
    <w:p>
      <w:pPr>
        <w:pStyle w:val="BodyText"/>
      </w:pPr>
      <w:r>
        <w:t xml:space="preserve">Vasquez Physics Consulting LLC</w:t>
      </w:r>
    </w:p>
    <w:p>
      <w:pPr>
        <w:pStyle w:val="BodyText"/>
      </w:pPr>
      <w:r>
        <w:t xml:space="preserve">1200 Brickell Avenue, Suite 2400</w:t>
      </w:r>
    </w:p>
    <w:p>
      <w:pPr>
        <w:pStyle w:val="BodyText"/>
      </w:pPr>
      <w:r>
        <w:t xml:space="preserve">Miami, Florida 33131</w:t>
      </w:r>
    </w:p>
    <w:p>
      <w:pPr>
        <w:pStyle w:val="BodyText"/>
      </w:pPr>
      <w:r>
        <w:t xml:space="preserve">United States</w:t>
      </w:r>
    </w:p>
    <w:p>
      <w:pPr>
        <w:pStyle w:val="BodyText"/>
      </w:pPr>
      <w:r>
        <w:t xml:space="preserve">Tel: (305) 555-0187</w:t>
      </w:r>
    </w:p>
    <w:p>
      <w:pPr>
        <w:pStyle w:val="BodyText"/>
      </w:pPr>
      <w:r>
        <w:t xml:space="preserve">Email: e.vasquez@vasquezphysics.com</w:t>
      </w:r>
    </w:p>
    <w:p>
      <w:pPr>
        <w:pStyle w:val="BodyText"/>
      </w:pPr>
      <w:r>
        <w:t xml:space="preserve">EIN: 82-4471903</w:t>
      </w:r>
    </w:p>
    <w:bookmarkEnd w:id="23"/>
    <w:bookmarkStart w:id="24" w:name="billed-to-client"/>
    <w:p>
      <w:pPr>
        <w:pStyle w:val="Heading3"/>
      </w:pPr>
      <w:r>
        <w:t xml:space="preserve">Billed To (Client)</w:t>
      </w:r>
    </w:p>
    <w:p>
      <w:pPr>
        <w:pStyle w:val="FirstParagraph"/>
      </w:pPr>
      <w:r>
        <w:rPr>
          <w:bCs/>
          <w:b/>
        </w:rPr>
        <w:t xml:space="preserve">Atlantic Coastal Energy Solutions, Inc.</w:t>
      </w:r>
    </w:p>
    <w:p>
      <w:pPr>
        <w:pStyle w:val="BodyText"/>
      </w:pPr>
      <w:r>
        <w:t xml:space="preserve">Attn: Mr. Richard Thompson, VP of Engineering</w:t>
      </w:r>
    </w:p>
    <w:p>
      <w:pPr>
        <w:pStyle w:val="BodyText"/>
      </w:pPr>
      <w:r>
        <w:t xml:space="preserve">4501 Biscayne Boulevard, Floor 18</w:t>
      </w:r>
    </w:p>
    <w:p>
      <w:pPr>
        <w:pStyle w:val="BodyText"/>
      </w:pPr>
      <w:r>
        <w:t xml:space="preserve">Miami, Florida 33137</w:t>
      </w:r>
    </w:p>
    <w:p>
      <w:pPr>
        <w:pStyle w:val="BodyText"/>
      </w:pPr>
      <w:r>
        <w:t xml:space="preserve">United States</w:t>
      </w:r>
    </w:p>
    <w:p>
      <w:pPr>
        <w:pStyle w:val="BodyText"/>
      </w:pPr>
      <w:r>
        <w:t xml:space="preserve">Tel: (305) 555-0293</w:t>
      </w:r>
    </w:p>
    <w:p>
      <w:pPr>
        <w:pStyle w:val="BodyText"/>
      </w:pPr>
      <w:r>
        <w:t xml:space="preserve">Email: r.thompson@atlanticcoastal.com</w:t>
      </w:r>
    </w:p>
    <w:p>
      <w:pPr>
        <w:pStyle w:val="BodyText"/>
      </w:pPr>
      <w:r>
        <w:t xml:space="preserve">Client Reference: ACS-2025-Q2-0091</w:t>
      </w:r>
    </w:p>
    <w:bookmarkEnd w:id="24"/>
    <w:bookmarkStart w:id="27" w:name="Xda45c4ddb3a77ffc94ce9fe5cad8aa44cce1b94"/>
    <w:p>
      <w:pPr>
        <w:pStyle w:val="Heading2"/>
      </w:pPr>
      <w:r>
        <w:t xml:space="preserve">Description of Physicist Services Rendered in United States Miami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Quantum Field Theory Consultation</w:t>
            </w:r>
            <w:r>
              <w:t xml:space="preserve"> </w:t>
            </w:r>
            <w:r>
              <w:t xml:space="preserve">— On-site advisory session at the client's Miami laboratory facility. The physicist provided expert analysis of quantum decoherence models relevant to the client's next-generation solar cell architecture. Includes preparation of a 45-page technical white paper.</w:t>
            </w:r>
          </w:p>
        </w:tc>
        <w:tc>
          <w:tcPr/>
          <w:p>
            <w:pPr>
              <w:pStyle w:val="Compact"/>
              <w:jc w:val="left"/>
            </w:pPr>
            <w:r>
              <w:t xml:space="preserve">May 5, 2025</w:t>
            </w:r>
          </w:p>
        </w:tc>
        <w:tc>
          <w:tcPr/>
          <w:p>
            <w:pPr>
              <w:pStyle w:val="Compact"/>
              <w:jc w:val="left"/>
            </w:pPr>
            <w:r>
              <w:t xml:space="preserve">8 hours</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2</w:t>
            </w:r>
          </w:p>
        </w:tc>
        <w:tc>
          <w:tcPr/>
          <w:p>
            <w:pPr>
              <w:pStyle w:val="Compact"/>
              <w:jc w:val="left"/>
            </w:pPr>
            <w:r>
              <w:rPr>
                <w:bCs/>
                <w:b/>
              </w:rPr>
              <w:t xml:space="preserve">Thermodynamic Systems Modeling</w:t>
            </w:r>
            <w:r>
              <w:t xml:space="preserve"> </w:t>
            </w:r>
            <w:r>
              <w:t xml:space="preserve">— Development of computational thermodynamic models for the client's offshore wind energy conversion systems. The physicist performed advanced finite-element simulations and delivered a comprehensive feasibility report with optimization recommendations.</w:t>
            </w:r>
          </w:p>
        </w:tc>
        <w:tc>
          <w:tcPr/>
          <w:p>
            <w:pPr>
              <w:pStyle w:val="Compact"/>
              <w:jc w:val="left"/>
            </w:pPr>
            <w:r>
              <w:t xml:space="preserve">May 12 – 16, 2025</w:t>
            </w:r>
          </w:p>
        </w:tc>
        <w:tc>
          <w:tcPr/>
          <w:p>
            <w:pPr>
              <w:pStyle w:val="Compact"/>
              <w:jc w:val="left"/>
            </w:pPr>
            <w:r>
              <w:t xml:space="preserve">40 hours</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3</w:t>
            </w:r>
          </w:p>
        </w:tc>
        <w:tc>
          <w:tcPr/>
          <w:p>
            <w:pPr>
              <w:pStyle w:val="Compact"/>
              <w:jc w:val="left"/>
            </w:pPr>
            <w:r>
              <w:rPr>
                <w:bCs/>
                <w:b/>
              </w:rPr>
              <w:t xml:space="preserve">Peer Review &amp; Technical Validation</w:t>
            </w:r>
            <w:r>
              <w:t xml:space="preserve"> </w:t>
            </w:r>
            <w:r>
              <w:t xml:space="preserve">— Independent physicist review of the client's proprietary electromagnetic shielding design for subsea data-center infrastructure. Includes written validation report, risk assessment matrix, and a 2-hour presentation to the client's engineering board in Miami.</w:t>
            </w:r>
          </w:p>
        </w:tc>
        <w:tc>
          <w:tcPr/>
          <w:p>
            <w:pPr>
              <w:pStyle w:val="Compact"/>
              <w:jc w:val="left"/>
            </w:pPr>
            <w:r>
              <w:t xml:space="preserve">May 22, 2025</w:t>
            </w:r>
          </w:p>
        </w:tc>
        <w:tc>
          <w:tcPr/>
          <w:p>
            <w:pPr>
              <w:pStyle w:val="Compact"/>
              <w:jc w:val="left"/>
            </w:pPr>
            <w:r>
              <w:t xml:space="preserve">12 hours</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4</w:t>
            </w:r>
          </w:p>
        </w:tc>
        <w:tc>
          <w:tcPr/>
          <w:p>
            <w:pPr>
              <w:pStyle w:val="Compact"/>
              <w:jc w:val="left"/>
            </w:pPr>
            <w:r>
              <w:rPr>
                <w:bCs/>
                <w:b/>
              </w:rPr>
              <w:t xml:space="preserve">Advanced Materials Physics Workshop</w:t>
            </w:r>
            <w:r>
              <w:t xml:space="preserve"> </w:t>
            </w:r>
            <w:r>
              <w:t xml:space="preserve">— Full-day workshop delivered to the client's 35-person R&amp;D team at their Miami headquarters. Topics covered: superconducting material applications, phonon engineering for thermal management, and emerging metamaterials for energy harvesting. Includes all presentation materials and a 20-page reference handbook.</w:t>
            </w:r>
          </w:p>
        </w:tc>
        <w:tc>
          <w:tcPr/>
          <w:p>
            <w:pPr>
              <w:pStyle w:val="Compact"/>
              <w:jc w:val="left"/>
            </w:pPr>
            <w:r>
              <w:t xml:space="preserve">May 29, 2025</w:t>
            </w:r>
          </w:p>
        </w:tc>
        <w:tc>
          <w:tcPr/>
          <w:p>
            <w:pPr>
              <w:pStyle w:val="Compact"/>
              <w:jc w:val="left"/>
            </w:pPr>
            <w:r>
              <w:t xml:space="preserve">8 hours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Ongoing Advisory Retainer (June 2025)</w:t>
            </w:r>
            <w:r>
              <w:t xml:space="preserve"> </w:t>
            </w:r>
            <w:r>
              <w:t xml:space="preserve">— Monthly physicist advisory retainer providing up to 10 hours of remote and on-site consultation, email correspondence, and emergency technical support for the client's physics-related engineering challenges throughout the month of June in the United States Miami metropolitan area.</w:t>
            </w:r>
          </w:p>
        </w:tc>
        <w:tc>
          <w:tcPr/>
          <w:p>
            <w:pPr>
              <w:pStyle w:val="Compact"/>
              <w:jc w:val="left"/>
            </w:pPr>
            <w:r>
              <w:t xml:space="preserve">June 1 – 30, 2025</w:t>
            </w:r>
          </w:p>
        </w:tc>
        <w:tc>
          <w:tcPr/>
          <w:p>
            <w:pPr>
              <w:pStyle w:val="Compact"/>
              <w:jc w:val="left"/>
            </w:pPr>
            <w:r>
              <w:t xml:space="preserve">10 hours</w:t>
            </w:r>
          </w:p>
        </w:tc>
        <w:tc>
          <w:tcPr/>
          <w:p>
            <w:pPr>
              <w:pStyle w:val="Compact"/>
              <w:jc w:val="left"/>
            </w:pPr>
            <w:r>
              <w:t xml:space="preserve">$275.00</w:t>
            </w:r>
          </w:p>
        </w:tc>
        <w:tc>
          <w:tcPr/>
          <w:p>
            <w:pPr>
              <w:pStyle w:val="Compact"/>
              <w:jc w:val="left"/>
            </w:pPr>
            <w:r>
              <w:t xml:space="preserve">$2,750.00</w:t>
            </w:r>
          </w:p>
        </w:tc>
      </w:tr>
      <w:tr>
        <w:tc>
          <w:tcPr/>
          <w:p>
            <w:pPr>
              <w:pStyle w:val="Compact"/>
              <w:jc w:val="left"/>
            </w:pPr>
            <w:r>
              <w:t xml:space="preserve">6</w:t>
            </w:r>
          </w:p>
        </w:tc>
        <w:tc>
          <w:tcPr/>
          <w:p>
            <w:pPr>
              <w:pStyle w:val="Compact"/>
              <w:jc w:val="left"/>
            </w:pPr>
            <w:r>
              <w:rPr>
                <w:bCs/>
                <w:b/>
              </w:rPr>
              <w:t xml:space="preserve">Travel &amp; Local Transportation</w:t>
            </w:r>
            <w:r>
              <w:t xml:space="preserve"> </w:t>
            </w:r>
            <w:r>
              <w:t xml:space="preserve">— Mileage and local transportation costs incurred by the physicist for on-site visits to the client's facilities across the Miami-Dade County area, including Brickell, Downtown Miami, and the Port of Miami industrial zone.</w:t>
            </w:r>
          </w:p>
        </w:tc>
        <w:tc>
          <w:tcPr/>
          <w:p>
            <w:pPr>
              <w:pStyle w:val="Compact"/>
              <w:jc w:val="left"/>
            </w:pPr>
            <w:r>
              <w:t xml:space="preserve">May – June 2025</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$22,535.00</w:t>
            </w:r>
          </w:p>
        </w:tc>
      </w:tr>
      <w:tr>
        <w:tc>
          <w:tcPr/>
          <w:p>
            <w:pPr>
              <w:pStyle w:val="Compact"/>
              <w:jc w:val="left"/>
            </w:pPr>
            <w:r>
              <w:t xml:space="preserve">Florida State Sales Tax (7.0%)</w:t>
            </w:r>
          </w:p>
        </w:tc>
        <w:tc>
          <w:tcPr/>
          <w:p>
            <w:pPr>
              <w:pStyle w:val="Compact"/>
              <w:jc w:val="right"/>
            </w:pPr>
            <w:r>
              <w:t xml:space="preserve">$1,577.45</w:t>
            </w:r>
          </w:p>
        </w:tc>
      </w:tr>
      <w:tr>
        <w:tc>
          <w:tcPr/>
          <w:p>
            <w:pPr>
              <w:pStyle w:val="Compact"/>
              <w:jc w:val="left"/>
            </w:pPr>
            <w:r>
              <w:t xml:space="preserve">Miami-Dade County Surcharge (1.0%)</w:t>
            </w:r>
          </w:p>
        </w:tc>
        <w:tc>
          <w:tcPr/>
          <w:p>
            <w:pPr>
              <w:pStyle w:val="Compact"/>
              <w:jc w:val="right"/>
            </w:pPr>
            <w:r>
              <w:t xml:space="preserve">$225.35</w:t>
            </w:r>
          </w:p>
        </w:tc>
      </w:tr>
      <w:tr>
        <w:tc>
          <w:tcPr/>
          <w:p>
            <w:pPr>
              <w:pStyle w:val="Compact"/>
              <w:jc w:val="left"/>
            </w:pPr>
            <w:r>
              <w:t xml:space="preserve">Early Payment Discount (2% if paid before June 25, 2025)</w:t>
            </w:r>
          </w:p>
        </w:tc>
        <w:tc>
          <w:tcPr/>
          <w:p>
            <w:pPr>
              <w:pStyle w:val="Compact"/>
              <w:jc w:val="right"/>
            </w:pPr>
            <w:r>
              <w:t xml:space="preserve">−$450.70</w:t>
            </w:r>
          </w:p>
        </w:tc>
      </w:tr>
      <w:tr>
        <w:tc>
          <w:tcPr/>
          <w:p>
            <w:pPr>
              <w:pStyle w:val="Compact"/>
              <w:jc w:val="left"/>
            </w:pPr>
            <w:r>
              <w:t xml:space="preserve">Grand Total Due</w:t>
            </w:r>
          </w:p>
        </w:tc>
        <w:tc>
          <w:tcPr/>
          <w:p>
            <w:pPr>
              <w:pStyle w:val="Compact"/>
              <w:jc w:val="right"/>
            </w:pPr>
            <w:r>
              <w:t xml:space="preserve">$23,887.10</w:t>
            </w:r>
          </w:p>
        </w:tc>
      </w:tr>
    </w:tbl>
    <w:bookmarkStart w:id="25" w:name="payment-terms-instructions"/>
    <w:p>
      <w:pPr>
        <w:pStyle w:val="Heading4"/>
      </w:pPr>
      <w:r>
        <w:t xml:space="preserve">Payment Terms &amp; Instructions</w:t>
      </w:r>
    </w:p>
    <w:p>
      <w:pPr>
        <w:pStyle w:val="FirstParagraph"/>
      </w:pPr>
      <w:r>
        <w:t xml:space="preserve">This Invoice is payable within thirty (30) calendar days from the issue date. Payment may be made via wire transfer to Vasquez Physics Consulting LLC, Bank of America, Routing Number 026009593, Account Number 8841-2207-5531, or via certified check mailed to the Miami address listed above. Please reference Invoice Number INV-2025-MIA-00472 on all remittances. A late payment fee of 1.5% per month will be applied to any balance outstanding after the due date of July 12, 2025, in accordance with Florida Statutes Chapter 668. The physicist reserves the right to suspend ongoing advisory services if payment is not received within fifteen (15) days past the due date.</w:t>
      </w:r>
    </w:p>
    <w:bookmarkEnd w:id="25"/>
    <w:bookmarkStart w:id="26" w:name="additional-notes-physicist-certification"/>
    <w:p>
      <w:pPr>
        <w:pStyle w:val="Heading4"/>
      </w:pPr>
      <w:r>
        <w:t xml:space="preserve">Additional Notes &amp; Physicist Certification</w:t>
      </w:r>
    </w:p>
    <w:p>
      <w:pPr>
        <w:pStyle w:val="FirstParagraph"/>
      </w:pPr>
      <w:r>
        <w:t xml:space="preserve">I, Dr. Elena Vasquez, hereby certify that all services described in this Invoice were personally performed by me as a licensed and credentialed physicist in the state of Florida, United States. All technical analyses, models, and reports delivered under this engagement are original work products. The intellectual property rights to all deliverables transfer to the client upon full payment of this Invoice. This document constitutes a legally binding financial record for the professional physicist services rendered in the United States Miami area during the period of May 1, 2025, through June 30, 2025. Should the client require any clarification regarding the scope of services, line-item breakdowns, or tax calculations, please contact the physicist directly at the phone number or email address provided above. This Invoice is valid for a period of ninety (90) days from the date of issue. After that period, the client should request a reissued copy from the physicist's office in Miami, Florida.</w:t>
      </w:r>
    </w:p>
    <w:p>
      <w:pPr>
        <w:pStyle w:val="BodyText"/>
      </w:pPr>
      <w:r>
        <w:rPr>
          <w:bCs/>
          <w:b/>
        </w:rPr>
        <w:t xml:space="preserve">Physicist Signature:</w:t>
      </w:r>
      <w:r>
        <w:t xml:space="preserve"> </w:t>
      </w:r>
      <w:r>
        <w:t xml:space="preserve">___________________________   </w:t>
      </w:r>
      <w:r>
        <w:t xml:space="preserve"> </w:t>
      </w:r>
      <w:r>
        <w:rPr>
          <w:bCs/>
          <w:b/>
        </w:rPr>
        <w:t xml:space="preserve">Date:</w:t>
      </w:r>
      <w:r>
        <w:t xml:space="preserve"> </w:t>
      </w:r>
      <w:r>
        <w:t xml:space="preserve">June 12, 2025</w:t>
      </w:r>
    </w:p>
    <w:p>
      <w:pPr>
        <w:pStyle w:val="BodyText"/>
      </w:pPr>
      <w:r>
        <w:rPr>
          <w:bCs/>
          <w:b/>
        </w:rPr>
        <w:t xml:space="preserve">Printed Name:</w:t>
      </w:r>
      <w:r>
        <w:t xml:space="preserve"> </w:t>
      </w:r>
      <w:r>
        <w:t xml:space="preserve">Dr. Elena Vasquez, Ph.D. — Senior Physicist, Vasquez Physics Consulting LLC</w:t>
      </w:r>
    </w:p>
    <w:bookmarkEnd w:id="26"/>
    <w:p>
      <w:pPr>
        <w:pStyle w:val="BodyText"/>
      </w:pPr>
      <w:r>
        <w:t xml:space="preserve">Vasquez Physics Consulting LLC • 1200 Brickell Avenue, Suite 2400, Miami, FL 33131, United States</w:t>
      </w:r>
    </w:p>
    <w:p>
      <w:pPr>
        <w:pStyle w:val="BodyText"/>
      </w:pPr>
      <w:r>
        <w:t xml:space="preserve">This Invoice was generated electronically and is valid without a physical signature. • Page 1 of 1</w:t>
      </w:r>
    </w:p>
    <w:p>
      <w:pPr>
        <w:pStyle w:val="BodyText"/>
      </w:pPr>
      <w:r>
        <w:t xml:space="preserve">© 2025 Vasquez Physics Consulting LLC. All rights reserved. • Florida Business License #LX12345670001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United States Miami</dc:title>
  <dc:creator/>
  <dc:language>en</dc:language>
  <cp:keywords/>
  <dcterms:created xsi:type="dcterms:W3CDTF">2026-10-10T03:32:04Z</dcterms:created>
  <dcterms:modified xsi:type="dcterms:W3CDTF">2026-10-10T03:32:04Z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