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Quantum</w:t>
      </w:r>
      <w:r>
        <w:t xml:space="preserve"> </w:t>
      </w:r>
      <w:r>
        <w:t xml:space="preserve">Dynamics</w:t>
      </w:r>
      <w:r>
        <w:t xml:space="preserve"> </w:t>
      </w:r>
      <w:r>
        <w:t xml:space="preserve">Research</w:t>
      </w:r>
      <w:r>
        <w:t xml:space="preserve"> </w:t>
      </w:r>
      <w:r>
        <w:t xml:space="preserve">Group</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antum-dynamics-research-group"/>
    <w:p>
      <w:pPr>
        <w:pStyle w:val="Heading1"/>
      </w:pPr>
      <w:r>
        <w:t xml:space="preserve">Quantum Dynamics Research Group</w:t>
      </w:r>
    </w:p>
    <w:p>
      <w:pPr>
        <w:pStyle w:val="FirstParagraph"/>
      </w:pPr>
      <w:r>
        <w:t xml:space="preserve">1287 Fifth Avenue, Suite 4200</w:t>
      </w:r>
    </w:p>
    <w:p>
      <w:pPr>
        <w:pStyle w:val="BodyText"/>
      </w:pPr>
      <w:r>
        <w:t xml:space="preserve">United States New York City, NY 10028</w:t>
      </w:r>
    </w:p>
    <w:p>
      <w:pPr>
        <w:pStyle w:val="BodyText"/>
      </w:pPr>
      <w:r>
        <w:t xml:space="preserve">Tel: (212) 555-0147 | Fax: (212) 555-0148</w:t>
      </w:r>
    </w:p>
    <w:p>
      <w:pPr>
        <w:pStyle w:val="BodyText"/>
      </w:pPr>
      <w:r>
        <w:t xml:space="preserve">Email: billing@qdr-group.com</w:t>
      </w:r>
    </w:p>
    <w:p>
      <w:pPr>
        <w:pStyle w:val="BodyText"/>
      </w:pPr>
      <w:r>
        <w:t xml:space="preserve">NYC Business License: #NYC-2024-88471</w:t>
      </w:r>
    </w:p>
    <w:bookmarkEnd w:id="20"/>
    <w:bookmarkStart w:id="21" w:name="invoice"/>
    <w:p>
      <w:pPr>
        <w:pStyle w:val="Heading2"/>
      </w:pPr>
      <w:r>
        <w:t xml:space="preserve">INVOICE</w:t>
      </w:r>
    </w:p>
    <w:p>
      <w:pPr>
        <w:pStyle w:val="FirstParagraph"/>
      </w:pPr>
      <w:r>
        <w:t xml:space="preserve">Invoice Number: QDR-2025-00347</w:t>
      </w:r>
    </w:p>
    <w:p>
      <w:pPr>
        <w:pStyle w:val="BodyText"/>
      </w:pPr>
      <w:r>
        <w:t xml:space="preserve">Date Issued: June 15, 2025</w:t>
      </w:r>
    </w:p>
    <w:p>
      <w:pPr>
        <w:pStyle w:val="BodyText"/>
      </w:pPr>
      <w:r>
        <w:t xml:space="preserve">Due Date: July 15, 2025</w:t>
      </w:r>
    </w:p>
    <w:bookmarkEnd w:id="21"/>
    <w:bookmarkStart w:id="22" w:name="bill-to"/>
    <w:p>
      <w:pPr>
        <w:pStyle w:val="Heading3"/>
      </w:pPr>
      <w:r>
        <w:t xml:space="preserve">Bill To</w:t>
      </w:r>
    </w:p>
    <w:p>
      <w:pPr>
        <w:pStyle w:val="FirstParagraph"/>
      </w:pPr>
      <w:r>
        <w:rPr>
          <w:bCs/>
          <w:b/>
        </w:rPr>
        <w:t xml:space="preserve">Meridian Aerospace Corporation</w:t>
      </w:r>
    </w:p>
    <w:p>
      <w:pPr>
        <w:pStyle w:val="BodyText"/>
      </w:pPr>
      <w:r>
        <w:t xml:space="preserve">Attn: Dr. Sarah Chen, VP of Research</w:t>
      </w:r>
    </w:p>
    <w:p>
      <w:pPr>
        <w:pStyle w:val="BodyText"/>
      </w:pPr>
      <w:r>
        <w:t xml:space="preserve">450 Park Avenue South</w:t>
      </w:r>
    </w:p>
    <w:p>
      <w:pPr>
        <w:pStyle w:val="BodyText"/>
      </w:pPr>
      <w:r>
        <w:t xml:space="preserve">United States New York City, NY 10016</w:t>
      </w:r>
    </w:p>
    <w:p>
      <w:pPr>
        <w:pStyle w:val="BodyText"/>
      </w:pPr>
      <w:r>
        <w:t xml:space="preserve">Tax ID: 84-2917365</w:t>
      </w:r>
    </w:p>
    <w:bookmarkEnd w:id="22"/>
    <w:bookmarkStart w:id="23" w:name="service-provider"/>
    <w:p>
      <w:pPr>
        <w:pStyle w:val="Heading3"/>
      </w:pPr>
      <w:r>
        <w:t xml:space="preserve">Service Provider</w:t>
      </w:r>
    </w:p>
    <w:p>
      <w:pPr>
        <w:pStyle w:val="FirstParagraph"/>
      </w:pPr>
      <w:r>
        <w:rPr>
          <w:bCs/>
          <w:b/>
        </w:rPr>
        <w:t xml:space="preserve">Dr. Alexander R. Whitfield, Ph.D.</w:t>
      </w:r>
    </w:p>
    <w:p>
      <w:pPr>
        <w:pStyle w:val="BodyText"/>
      </w:pPr>
      <w:r>
        <w:t xml:space="preserve">Lead Physicist, Quantum Dynamics Research Group</w:t>
      </w:r>
    </w:p>
    <w:p>
      <w:pPr>
        <w:pStyle w:val="BodyText"/>
      </w:pPr>
      <w:r>
        <w:t xml:space="preserve">Specialization: Applied Theoretical Physics</w:t>
      </w:r>
    </w:p>
    <w:p>
      <w:pPr>
        <w:pStyle w:val="BodyText"/>
      </w:pPr>
      <w:r>
        <w:t xml:space="preserve">NYC Professional License: PHY-2025-11892</w:t>
      </w:r>
    </w:p>
    <w:bookmarkEnd w:id="23"/>
    <w:bookmarkStart w:id="24" w:name="project-reference"/>
    <w:p>
      <w:pPr>
        <w:pStyle w:val="Heading3"/>
      </w:pPr>
      <w:r>
        <w:t xml:space="preserve">Project Reference</w:t>
      </w:r>
    </w:p>
    <w:p>
      <w:pPr>
        <w:pStyle w:val="FirstParagraph"/>
      </w:pPr>
      <w:r>
        <w:t xml:space="preserve">Contract: MAC-QDR-2025-009</w:t>
      </w:r>
    </w:p>
    <w:p>
      <w:pPr>
        <w:pStyle w:val="BodyText"/>
      </w:pPr>
      <w:r>
        <w:t xml:space="preserve">Phase: II – Advanced Modeling</w:t>
      </w:r>
    </w:p>
    <w:p>
      <w:pPr>
        <w:pStyle w:val="BodyText"/>
      </w:pPr>
      <w:r>
        <w:t xml:space="preserve">Location: United States New York City</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Physicist / Role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Advanced quantum field theory modeling for propulsion system optimization. The Physicist conducted extensive computational analysis of particle interaction models to support Meridian Aerospace's next-generation engine design. All work was performed at the United States New York City laboratory facility.</w:t>
            </w:r>
          </w:p>
        </w:tc>
        <w:tc>
          <w:tcPr/>
          <w:p>
            <w:pPr>
              <w:pStyle w:val="Compact"/>
              <w:jc w:val="left"/>
            </w:pPr>
            <w:r>
              <w:t xml:space="preserve">Dr. A. Whitfield (Lead Physicist)</w:t>
            </w:r>
          </w:p>
        </w:tc>
        <w:tc>
          <w:tcPr/>
          <w:p>
            <w:pPr>
              <w:pStyle w:val="Compact"/>
              <w:jc w:val="left"/>
            </w:pPr>
            <w:r>
              <w:t xml:space="preserve">48</w:t>
            </w:r>
          </w:p>
        </w:tc>
        <w:tc>
          <w:tcPr/>
          <w:p>
            <w:pPr>
              <w:pStyle w:val="Compact"/>
              <w:jc w:val="left"/>
            </w:pPr>
            <w:r>
              <w:t xml:space="preserve">$325.00</w:t>
            </w:r>
          </w:p>
        </w:tc>
        <w:tc>
          <w:tcPr/>
          <w:p>
            <w:pPr>
              <w:pStyle w:val="Compact"/>
              <w:jc w:val="left"/>
            </w:pPr>
            <w:r>
              <w:t xml:space="preserve">$15,600.00</w:t>
            </w:r>
          </w:p>
        </w:tc>
      </w:tr>
      <w:tr>
        <w:tc>
          <w:tcPr/>
          <w:p>
            <w:pPr>
              <w:pStyle w:val="Compact"/>
              <w:jc w:val="left"/>
            </w:pPr>
            <w:r>
              <w:t xml:space="preserve">2</w:t>
            </w:r>
          </w:p>
        </w:tc>
        <w:tc>
          <w:tcPr/>
          <w:p>
            <w:pPr>
              <w:pStyle w:val="Compact"/>
              <w:jc w:val="left"/>
            </w:pPr>
            <w:r>
              <w:t xml:space="preserve">Thermodynamic analysis and heat transfer simulation for reactor containment systems. The Physicist prepared detailed reports on entropy calculations and thermal equilibrium states, delivering findings to the client team in United States New York City.</w:t>
            </w:r>
          </w:p>
        </w:tc>
        <w:tc>
          <w:tcPr/>
          <w:p>
            <w:pPr>
              <w:pStyle w:val="Compact"/>
              <w:jc w:val="left"/>
            </w:pPr>
            <w:r>
              <w:t xml:space="preserve">Dr. A. Whitfield (Lead Physicist)</w:t>
            </w:r>
          </w:p>
        </w:tc>
        <w:tc>
          <w:tcPr/>
          <w:p>
            <w:pPr>
              <w:pStyle w:val="Compact"/>
              <w:jc w:val="left"/>
            </w:pPr>
            <w:r>
              <w:t xml:space="preserve">32</w:t>
            </w:r>
          </w:p>
        </w:tc>
        <w:tc>
          <w:tcPr/>
          <w:p>
            <w:pPr>
              <w:pStyle w:val="Compact"/>
              <w:jc w:val="left"/>
            </w:pPr>
            <w:r>
              <w:t xml:space="preserve">$325.00</w:t>
            </w:r>
          </w:p>
        </w:tc>
        <w:tc>
          <w:tcPr/>
          <w:p>
            <w:pPr>
              <w:pStyle w:val="Compact"/>
              <w:jc w:val="left"/>
            </w:pPr>
            <w:r>
              <w:t xml:space="preserve">$10,400.00</w:t>
            </w:r>
          </w:p>
        </w:tc>
      </w:tr>
      <w:tr>
        <w:tc>
          <w:tcPr/>
          <w:p>
            <w:pPr>
              <w:pStyle w:val="Compact"/>
              <w:jc w:val="left"/>
            </w:pPr>
            <w:r>
              <w:t xml:space="preserve">3</w:t>
            </w:r>
          </w:p>
        </w:tc>
        <w:tc>
          <w:tcPr/>
          <w:p>
            <w:pPr>
              <w:pStyle w:val="Compact"/>
              <w:jc w:val="left"/>
            </w:pPr>
            <w:r>
              <w:t xml:space="preserve">Peer review and validation of electromagnetic shielding specifications. The Physicist evaluated the client's proposed shielding architecture against established theoretical frameworks and provided corrective recommendations in a formal written report.</w:t>
            </w:r>
          </w:p>
        </w:tc>
        <w:tc>
          <w:tcPr/>
          <w:p>
            <w:pPr>
              <w:pStyle w:val="Compact"/>
              <w:jc w:val="left"/>
            </w:pPr>
            <w:r>
              <w:t xml:space="preserve">Dr. A. Whitfield (Lead Physicist)</w:t>
            </w:r>
          </w:p>
        </w:tc>
        <w:tc>
          <w:tcPr/>
          <w:p>
            <w:pPr>
              <w:pStyle w:val="Compact"/>
              <w:jc w:val="left"/>
            </w:pPr>
            <w:r>
              <w:t xml:space="preserve">16</w:t>
            </w:r>
          </w:p>
        </w:tc>
        <w:tc>
          <w:tcPr/>
          <w:p>
            <w:pPr>
              <w:pStyle w:val="Compact"/>
              <w:jc w:val="left"/>
            </w:pPr>
            <w:r>
              <w:t xml:space="preserve">$325.00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On-site consultation and technical briefing at Meridian Aerospace headquarters in United States New York City. The Physicist presented findings, answered engineering team questions, and provided guidance on implementation pathways for the quantum modeling results.</w:t>
            </w:r>
          </w:p>
        </w:tc>
        <w:tc>
          <w:tcPr/>
          <w:p>
            <w:pPr>
              <w:pStyle w:val="Compact"/>
              <w:jc w:val="left"/>
            </w:pPr>
            <w:r>
              <w:t xml:space="preserve">Dr. A. Whitfield (Lead Physicist)</w:t>
            </w:r>
          </w:p>
        </w:tc>
        <w:tc>
          <w:tcPr/>
          <w:p>
            <w:pPr>
              <w:pStyle w:val="Compact"/>
              <w:jc w:val="left"/>
            </w:pPr>
            <w:r>
              <w:t xml:space="preserve">8</w:t>
            </w:r>
          </w:p>
        </w:tc>
        <w:tc>
          <w:tcPr/>
          <w:p>
            <w:pPr>
              <w:pStyle w:val="Compact"/>
              <w:jc w:val="left"/>
            </w:pPr>
            <w:r>
              <w:t xml:space="preserve">$400.00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Preparation of technical documentation and patent support materials. The Physicist drafted three technical white papers and two provisional patent application outlines related to novel particle confinement methodologies developed during this engagement.</w:t>
            </w:r>
          </w:p>
        </w:tc>
        <w:tc>
          <w:tcPr/>
          <w:p>
            <w:pPr>
              <w:pStyle w:val="Compact"/>
              <w:jc w:val="left"/>
            </w:pPr>
            <w:r>
              <w:t xml:space="preserve">Dr. A. Whitfield (Lead Physicist)</w:t>
            </w:r>
          </w:p>
        </w:tc>
        <w:tc>
          <w:tcPr/>
          <w:p>
            <w:pPr>
              <w:pStyle w:val="Compact"/>
              <w:jc w:val="left"/>
            </w:pPr>
            <w:r>
              <w:t xml:space="preserve">24</w:t>
            </w:r>
          </w:p>
        </w:tc>
        <w:tc>
          <w:tcPr/>
          <w:p>
            <w:pPr>
              <w:pStyle w:val="Compact"/>
              <w:jc w:val="left"/>
            </w:pPr>
            <w:r>
              <w:t xml:space="preserve">$325.00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Travel and laboratory access fees within the United States New York City metropolitan area, including use of specialized particle accelerator equipment and computational cluster resources at the QDR facility.</w:t>
            </w:r>
          </w:p>
        </w:tc>
        <w:tc>
          <w:tcPr/>
          <w:p>
            <w:pPr>
              <w:pStyle w:val="Compact"/>
              <w:jc w:val="left"/>
            </w:pPr>
            <w:r>
              <w:t xml:space="preserve">Facility / Equipment</w:t>
            </w:r>
          </w:p>
        </w:tc>
        <w:tc>
          <w:tcPr/>
          <w:p>
            <w:pPr>
              <w:pStyle w:val="Compact"/>
              <w:jc w:val="left"/>
            </w:pPr>
            <w:r>
              <w:t xml:space="preserve">—</w:t>
            </w:r>
          </w:p>
        </w:tc>
        <w:tc>
          <w:tcPr/>
          <w:p>
            <w:pPr>
              <w:pStyle w:val="Compact"/>
              <w:jc w:val="left"/>
            </w:pPr>
            <w:r>
              <w:t xml:space="preserve">—</w:t>
            </w:r>
          </w:p>
        </w:tc>
        <w:tc>
          <w:tcPr/>
          <w:p>
            <w:pPr>
              <w:pStyle w:val="Compact"/>
              <w:jc w:val="left"/>
            </w:pPr>
            <w:r>
              <w:t xml:space="preserve">$2,150.00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$44,350.00</w:t>
            </w:r>
          </w:p>
        </w:tc>
      </w:tr>
      <w:tr>
        <w:tc>
          <w:tcPr/>
          <w:p>
            <w:pPr>
              <w:pStyle w:val="Compact"/>
              <w:jc w:val="left"/>
            </w:pPr>
            <w:r>
              <w:t xml:space="preserve">NYC Sales &amp; Service Tax (8.875%)</w:t>
            </w:r>
          </w:p>
        </w:tc>
        <w:tc>
          <w:tcPr/>
          <w:p>
            <w:pPr>
              <w:pStyle w:val="Compact"/>
              <w:jc w:val="right"/>
            </w:pPr>
            <w:r>
              <w:t xml:space="preserve">$3,936.07</w:t>
            </w:r>
          </w:p>
        </w:tc>
      </w:tr>
      <w:tr>
        <w:tc>
          <w:tcPr/>
          <w:p>
            <w:pPr>
              <w:pStyle w:val="Compact"/>
              <w:jc w:val="left"/>
            </w:pPr>
            <w:r>
              <w:t xml:space="preserve">NY State Additional Tax (0.885%)</w:t>
            </w:r>
          </w:p>
        </w:tc>
        <w:tc>
          <w:tcPr/>
          <w:p>
            <w:pPr>
              <w:pStyle w:val="Compact"/>
              <w:jc w:val="right"/>
            </w:pPr>
            <w:r>
              <w:t xml:space="preserve">$392.50</w:t>
            </w:r>
          </w:p>
        </w:tc>
      </w:tr>
      <w:tr>
        <w:tc>
          <w:tcPr/>
          <w:p>
            <w:pPr>
              <w:pStyle w:val="Compact"/>
              <w:jc w:val="left"/>
            </w:pPr>
            <w:r>
              <w:t xml:space="preserve">Early Payment Discount (2% if paid before June 30, 2025)</w:t>
            </w:r>
          </w:p>
        </w:tc>
        <w:tc>
          <w:tcPr/>
          <w:p>
            <w:pPr>
              <w:pStyle w:val="Compact"/>
              <w:jc w:val="right"/>
            </w:pPr>
            <w:r>
              <w:t xml:space="preserve">($887.00)</w:t>
            </w:r>
          </w:p>
        </w:tc>
      </w:tr>
      <w:tr>
        <w:tc>
          <w:tcPr/>
          <w:p>
            <w:pPr>
              <w:pStyle w:val="Compact"/>
              <w:jc w:val="left"/>
            </w:pPr>
            <w:r>
              <w:t xml:space="preserve">Grand Total Due</w:t>
            </w:r>
          </w:p>
        </w:tc>
        <w:tc>
          <w:tcPr/>
          <w:p>
            <w:pPr>
              <w:pStyle w:val="Compact"/>
              <w:jc w:val="right"/>
            </w:pPr>
            <w:r>
              <w:t xml:space="preserve">$47,791.57</w:t>
            </w:r>
          </w:p>
        </w:tc>
      </w:tr>
    </w:tbl>
    <w:bookmarkStart w:id="25" w:name="payment-instructions"/>
    <w:p>
      <w:pPr>
        <w:pStyle w:val="Heading3"/>
      </w:pPr>
      <w:r>
        <w:t xml:space="preserve">Payment Instructions</w:t>
      </w:r>
    </w:p>
    <w:p>
      <w:pPr>
        <w:pStyle w:val="FirstParagraph"/>
      </w:pPr>
      <w:r>
        <w:rPr>
          <w:bCs/>
          <w:b/>
        </w:rPr>
        <w:t xml:space="preserve">Bank Transfer (ACH):</w:t>
      </w:r>
      <w:r>
        <w:t xml:space="preserve"> </w:t>
      </w:r>
      <w:r>
        <w:t xml:space="preserve">First National Bank of New York | Routing: 026 009 593 | Account: 4471-8829-003 | Reference: QDR-2025-00347</w:t>
      </w:r>
    </w:p>
    <w:p>
      <w:pPr>
        <w:pStyle w:val="BodyText"/>
      </w:pPr>
      <w:r>
        <w:rPr>
          <w:bCs/>
          <w:b/>
        </w:rPr>
        <w:t xml:space="preserve">Check:</w:t>
      </w:r>
      <w:r>
        <w:t xml:space="preserve"> </w:t>
      </w:r>
      <w:r>
        <w:t xml:space="preserve">Make payable to "Quantum Dynamics Research Group" and mail to 1287 Fifth Avenue, Suite 4200, United States New York City, NY 10028.</w:t>
      </w:r>
    </w:p>
    <w:p>
      <w:pPr>
        <w:pStyle w:val="BodyText"/>
      </w:pPr>
      <w:r>
        <w:rPr>
          <w:bCs/>
          <w:b/>
        </w:rPr>
        <w:t xml:space="preserve">Wire Transfer:</w:t>
      </w:r>
      <w:r>
        <w:t xml:space="preserve"> </w:t>
      </w:r>
      <w:r>
        <w:t xml:space="preserve">SWIFT: FNBKUSNY | IBAN: US62 0260 0959 0004 4718 8290</w:t>
      </w:r>
    </w:p>
    <w:p>
      <w:pPr>
        <w:pStyle w:val="BodyText"/>
      </w:pPr>
      <w:r>
        <w:t xml:space="preserve">Please reference Invoice Number QDR-2025-00347 on all payments to ensure proper accounting reconciliation.</w:t>
      </w:r>
    </w:p>
    <w:bookmarkEnd w:id="25"/>
    <w:p>
      <w:pPr>
        <w:pStyle w:val="BodyText"/>
      </w:pPr>
      <w:r>
        <w:rPr>
          <w:bCs/>
          <w:b/>
        </w:rPr>
        <w:t xml:space="preserve">Important Notes:</w:t>
      </w:r>
      <w:r>
        <w:t xml:space="preserve"> </w:t>
      </w:r>
      <w:r>
        <w:t xml:space="preserve">This Invoice covers all professional services rendered by the Physicist, Dr. Alexander R. Whitfield, during the period of May 1, 2025 through June 10, 2025, under Contract MAC-QDR-2025-009. All services were performed in compliance with applicable regulations in the United States New York City jurisdiction. The Physicist confirms that all intellectual property generated during this engagement remains subject to the terms outlined in the master service agreement. Late payments are subject to a 1.5% monthly interest charge as stipulated in the contract. This Invoice is valid for 30 days from the date of issue.</w:t>
      </w:r>
    </w:p>
    <w:bookmarkStart w:id="26" w:name="terms-and-conditions"/>
    <w:p>
      <w:pPr>
        <w:pStyle w:val="Heading3"/>
      </w:pPr>
      <w:r>
        <w:t xml:space="preserve">Terms and Conditions</w:t>
      </w:r>
    </w:p>
    <w:p>
      <w:pPr>
        <w:numPr>
          <w:ilvl w:val="0"/>
          <w:numId w:val="1001"/>
        </w:numPr>
        <w:pStyle w:val="Compact"/>
      </w:pPr>
      <w:r>
        <w:t xml:space="preserve">This Invoice is issued in accordance with the terms of the Master Service Agreement dated March 1, 2025, between Quantum Dynamics Research Group and Meridian Aerospace Corporation, both operating within the United States New York City area.</w:t>
      </w:r>
    </w:p>
    <w:p>
      <w:pPr>
        <w:numPr>
          <w:ilvl w:val="0"/>
          <w:numId w:val="1001"/>
        </w:numPr>
        <w:pStyle w:val="Compact"/>
      </w:pPr>
      <w:r>
        <w:t xml:space="preserve">All services provided by the Physicist are subject to the confidentiality provisions outlined in Section 14 of the Master Service Agreement. No portion of the research findings may be disclosed to third parties without written consent.</w:t>
      </w:r>
    </w:p>
    <w:p>
      <w:pPr>
        <w:numPr>
          <w:ilvl w:val="0"/>
          <w:numId w:val="1001"/>
        </w:numPr>
        <w:pStyle w:val="Compact"/>
      </w:pPr>
      <w:r>
        <w:t xml:space="preserve">Payment is due within thirty (30) calendar days of the Invoice date. Failure to remit payment by the due date of July 15, 2025, will result in the application of late fees as described herein.</w:t>
      </w:r>
    </w:p>
    <w:p>
      <w:pPr>
        <w:numPr>
          <w:ilvl w:val="0"/>
          <w:numId w:val="1001"/>
        </w:numPr>
        <w:pStyle w:val="Compact"/>
      </w:pPr>
      <w:r>
        <w:t xml:space="preserve">The Physicist warrants that all calculations, models, and analyses provided are accurate to the best of current scientific understanding and have been conducted with professional diligence in the United States New York City laboratory environment.</w:t>
      </w:r>
    </w:p>
    <w:p>
      <w:pPr>
        <w:numPr>
          <w:ilvl w:val="0"/>
          <w:numId w:val="1001"/>
        </w:numPr>
        <w:pStyle w:val="Compact"/>
      </w:pPr>
      <w:r>
        <w:t xml:space="preserve">Any disputes arising from this Invoice shall be resolved through arbitration in the United States New York City, in accordance with the rules of the American Arbitration Association.</w:t>
      </w:r>
    </w:p>
    <w:p>
      <w:pPr>
        <w:numPr>
          <w:ilvl w:val="0"/>
          <w:numId w:val="1001"/>
        </w:numPr>
        <w:pStyle w:val="Compact"/>
      </w:pPr>
      <w:r>
        <w:t xml:space="preserve">This Invoice constitutes the final billing for Phase II of the engagement. Phase III billing will be issued separately upon completion of the subsequent work period.</w:t>
      </w:r>
    </w:p>
    <w:bookmarkEnd w:id="26"/>
    <w:p>
      <w:pPr>
        <w:pStyle w:val="FirstParagraph"/>
      </w:pPr>
      <w:r>
        <w:t xml:space="preserve">Quantum Dynamics Research Group | 1287 Fifth Avenue, Suite 4200, United States New York City, NY 10028</w:t>
      </w:r>
    </w:p>
    <w:p>
      <w:pPr>
        <w:pStyle w:val="BodyText"/>
      </w:pPr>
      <w:r>
        <w:t xml:space="preserve">Invoice QDR-2025-00347 | Issued June 15, 2025 | This document is electronically generated and valid without signature.</w:t>
      </w:r>
    </w:p>
    <w:p>
      <w:pPr>
        <w:pStyle w:val="BodyText"/>
      </w:pPr>
      <w:r>
        <w:t xml:space="preserve">For questions regarding this Invoice, please contact our billing department at billing@qdr-group.com or (212) 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Quantum Dynamics Research Group - United States New York City</dc:title>
  <dc:creator/>
  <dc:language>en</dc:language>
  <cp:keywords/>
  <dcterms:created xsi:type="dcterms:W3CDTF">2026-10-10T07:08:00Z</dcterms:created>
  <dcterms:modified xsi:type="dcterms:W3CDTF">2026-10-10T07:08:00Z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