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Dr.</w:t>
      </w:r>
      <w:r>
        <w:t xml:space="preserve"> </w:t>
      </w:r>
      <w:r>
        <w:t xml:space="preserve">Elena</w:t>
      </w:r>
      <w:r>
        <w:t xml:space="preserve"> </w:t>
      </w:r>
      <w:r>
        <w:t xml:space="preserve">Vasquez,</w:t>
      </w:r>
      <w:r>
        <w:t xml:space="preserve"> </w:t>
      </w:r>
      <w:r>
        <w:t xml:space="preserve">Physicist</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invoice"/>
    <w:p>
      <w:pPr>
        <w:pStyle w:val="Heading1"/>
      </w:pPr>
      <w:r>
        <w:t xml:space="preserve">INVOICE</w:t>
      </w:r>
    </w:p>
    <w:p>
      <w:pPr>
        <w:pStyle w:val="FirstParagraph"/>
      </w:pPr>
      <w:r>
        <w:t xml:space="preserve">Professional Physics Consulting &amp; Research Services</w:t>
      </w:r>
    </w:p>
    <w:p>
      <w:pPr>
        <w:pStyle w:val="BodyText"/>
      </w:pPr>
      <w:r>
        <w:t xml:space="preserve">San Francisco, California</w:t>
      </w:r>
    </w:p>
    <w:bookmarkEnd w:id="20"/>
    <w:p>
      <w:pPr>
        <w:pStyle w:val="BodyText"/>
      </w:pPr>
      <w:r>
        <w:rPr>
          <w:bCs/>
          <w:b/>
        </w:rPr>
        <w:t xml:space="preserve">Invoice Number:</w:t>
      </w:r>
      <w:r>
        <w:t xml:space="preserve"> </w:t>
      </w:r>
      <w:r>
        <w:t xml:space="preserve">INV-2025-SF-0487</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w:t>
      </w:r>
    </w:p>
    <w:p>
      <w:pPr>
        <w:pStyle w:val="BodyText"/>
      </w:pPr>
      <w:r>
        <w:rPr>
          <w:bCs/>
          <w:b/>
        </w:rPr>
        <w:t xml:space="preserve">Country:</w:t>
      </w:r>
      <w:r>
        <w:t xml:space="preserve"> </w:t>
      </w:r>
      <w:r>
        <w:t xml:space="preserve">United States</w:t>
      </w:r>
    </w:p>
    <w:bookmarkStart w:id="21" w:name="issued-by-physicist"/>
    <w:p>
      <w:pPr>
        <w:pStyle w:val="Heading3"/>
      </w:pPr>
      <w:r>
        <w:t xml:space="preserve">Issued By (Physicist)</w:t>
      </w:r>
    </w:p>
    <w:p>
      <w:pPr>
        <w:pStyle w:val="FirstParagraph"/>
      </w:pPr>
      <w:r>
        <w:rPr>
          <w:bCs/>
          <w:b/>
        </w:rPr>
        <w:t xml:space="preserve">Dr. Elena M. Vasquez, Ph.D.</w:t>
      </w:r>
    </w:p>
    <w:p>
      <w:pPr>
        <w:pStyle w:val="BodyText"/>
      </w:pPr>
      <w:r>
        <w:t xml:space="preserve">Senior Physicist &amp; Quantum Systems Consultant</w:t>
      </w:r>
    </w:p>
    <w:p>
      <w:pPr>
        <w:pStyle w:val="BodyText"/>
      </w:pPr>
      <w:r>
        <w:t xml:space="preserve">Vasquez Physics Consulting Group</w:t>
      </w:r>
    </w:p>
    <w:p>
      <w:pPr>
        <w:pStyle w:val="BodyText"/>
      </w:pPr>
      <w:r>
        <w:t xml:space="preserve">1455 Market Street, Suite 2840</w:t>
      </w:r>
    </w:p>
    <w:p>
      <w:pPr>
        <w:pStyle w:val="BodyText"/>
      </w:pPr>
      <w:r>
        <w:t xml:space="preserve">San Francisco, California 94103</w:t>
      </w:r>
    </w:p>
    <w:p>
      <w:pPr>
        <w:pStyle w:val="BodyText"/>
      </w:pPr>
      <w:r>
        <w:t xml:space="preserve">United States of America</w:t>
      </w:r>
    </w:p>
    <w:p>
      <w:pPr>
        <w:pStyle w:val="BodyText"/>
      </w:pPr>
      <w:r>
        <w:t xml:space="preserve">Tel: (415) 555-0192</w:t>
      </w:r>
    </w:p>
    <w:p>
      <w:pPr>
        <w:pStyle w:val="BodyText"/>
      </w:pPr>
      <w:r>
        <w:t xml:space="preserve">Email: e.vasquez@vasquezphysics.com</w:t>
      </w:r>
    </w:p>
    <w:p>
      <w:pPr>
        <w:pStyle w:val="BodyText"/>
      </w:pPr>
      <w:r>
        <w:t xml:space="preserve">CA Contractor License: PHYC-2019-88432</w:t>
      </w:r>
    </w:p>
    <w:bookmarkEnd w:id="21"/>
    <w:bookmarkStart w:id="22" w:name="billed-to-client"/>
    <w:p>
      <w:pPr>
        <w:pStyle w:val="Heading3"/>
      </w:pPr>
      <w:r>
        <w:t xml:space="preserve">Billed To (Client)</w:t>
      </w:r>
    </w:p>
    <w:p>
      <w:pPr>
        <w:pStyle w:val="FirstParagraph"/>
      </w:pPr>
      <w:r>
        <w:rPr>
          <w:bCs/>
          <w:b/>
        </w:rPr>
        <w:t xml:space="preserve">Meridian Technologies, Inc.</w:t>
      </w:r>
    </w:p>
    <w:p>
      <w:pPr>
        <w:pStyle w:val="BodyText"/>
      </w:pPr>
      <w:r>
        <w:t xml:space="preserve">Attn: Mr. James Thornton, VP of R&amp;D</w:t>
      </w:r>
    </w:p>
    <w:p>
      <w:pPr>
        <w:pStyle w:val="BodyText"/>
      </w:pPr>
      <w:r>
        <w:t xml:space="preserve">2200 Mission Street, Floor 14</w:t>
      </w:r>
    </w:p>
    <w:p>
      <w:pPr>
        <w:pStyle w:val="BodyText"/>
      </w:pPr>
      <w:r>
        <w:t xml:space="preserve">San Francisco, California 94110</w:t>
      </w:r>
    </w:p>
    <w:p>
      <w:pPr>
        <w:pStyle w:val="BodyText"/>
      </w:pPr>
      <w:r>
        <w:t xml:space="preserve">United States of America</w:t>
      </w:r>
    </w:p>
    <w:p>
      <w:pPr>
        <w:pStyle w:val="BodyText"/>
      </w:pPr>
      <w:r>
        <w:t xml:space="preserve">Tel: (415) 555-0347</w:t>
      </w:r>
    </w:p>
    <w:p>
      <w:pPr>
        <w:pStyle w:val="BodyText"/>
      </w:pPr>
      <w:r>
        <w:t xml:space="preserve">Email: j.thornton@meridiantech.com</w:t>
      </w:r>
    </w:p>
    <w:p>
      <w:pPr>
        <w:pStyle w:val="BodyText"/>
      </w:pPr>
      <w:r>
        <w:t xml:space="preserve">Tax ID (EIN): 94-2837461</w:t>
      </w:r>
    </w:p>
    <w:bookmarkEnd w:id="22"/>
    <w:bookmarkStart w:id="24" w:name="X8a92c60d32fd69ad7847619f8ea482b56b1747f"/>
    <w:p>
      <w:pPr>
        <w:pStyle w:val="Heading3"/>
      </w:pPr>
      <w:r>
        <w:t xml:space="preserve">Description of Services Rendered by the Physicist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Quantum mechanics modeling and simulation for next-generation semiconductor design. The Physicist conducted advanced computational analysis of electron behavior in nanoscale structures, providing detailed theoretical frameworks for the engineering team.</w:t>
            </w:r>
          </w:p>
        </w:tc>
        <w:tc>
          <w:tcPr/>
          <w:p>
            <w:pPr>
              <w:pStyle w:val="Compact"/>
              <w:jc w:val="left"/>
            </w:pPr>
            <w:r>
              <w:t xml:space="preserve">May 5 – May 16, 2025</w:t>
            </w:r>
          </w:p>
        </w:tc>
        <w:tc>
          <w:tcPr/>
          <w:p>
            <w:pPr>
              <w:pStyle w:val="Compact"/>
              <w:jc w:val="left"/>
            </w:pPr>
            <w:r>
              <w:t xml:space="preserve">48</w:t>
            </w:r>
          </w:p>
        </w:tc>
        <w:tc>
          <w:tcPr/>
          <w:p>
            <w:pPr>
              <w:pStyle w:val="Compact"/>
              <w:jc w:val="left"/>
            </w:pPr>
            <w:r>
              <w:t xml:space="preserve">$275.00</w:t>
            </w:r>
          </w:p>
        </w:tc>
        <w:tc>
          <w:tcPr/>
          <w:p>
            <w:pPr>
              <w:pStyle w:val="Compact"/>
              <w:jc w:val="left"/>
            </w:pPr>
            <w:r>
              <w:t xml:space="preserve">$13,200.00</w:t>
            </w:r>
          </w:p>
        </w:tc>
      </w:tr>
      <w:tr>
        <w:tc>
          <w:tcPr/>
          <w:p>
            <w:pPr>
              <w:pStyle w:val="Compact"/>
              <w:jc w:val="left"/>
            </w:pPr>
            <w:r>
              <w:t xml:space="preserve">2</w:t>
            </w:r>
          </w:p>
        </w:tc>
        <w:tc>
          <w:tcPr/>
          <w:p>
            <w:pPr>
              <w:pStyle w:val="Compact"/>
              <w:jc w:val="left"/>
            </w:pPr>
            <w:r>
              <w:t xml:space="preserve">Thermodynamic analysis and heat dissipation optimization for high-performance computing hardware. The Physicist performed entropy calculations and thermal conductivity assessments to ensure compliance with IEEE 802.3 standards.</w:t>
            </w:r>
          </w:p>
        </w:tc>
        <w:tc>
          <w:tcPr/>
          <w:p>
            <w:pPr>
              <w:pStyle w:val="Compact"/>
              <w:jc w:val="left"/>
            </w:pPr>
            <w:r>
              <w:t xml:space="preserve">May 19 – May 23, 2025</w:t>
            </w:r>
          </w:p>
        </w:tc>
        <w:tc>
          <w:tcPr/>
          <w:p>
            <w:pPr>
              <w:pStyle w:val="Compact"/>
              <w:jc w:val="left"/>
            </w:pPr>
            <w:r>
              <w:t xml:space="preserve">32</w:t>
            </w:r>
          </w:p>
        </w:tc>
        <w:tc>
          <w:tcPr/>
          <w:p>
            <w:pPr>
              <w:pStyle w:val="Compact"/>
              <w:jc w:val="left"/>
            </w:pPr>
            <w:r>
              <w:t xml:space="preserve">$275.00</w:t>
            </w:r>
          </w:p>
        </w:tc>
        <w:tc>
          <w:tcPr/>
          <w:p>
            <w:pPr>
              <w:pStyle w:val="Compact"/>
              <w:jc w:val="left"/>
            </w:pPr>
            <w:r>
              <w:t xml:space="preserve">$8,800.00</w:t>
            </w:r>
          </w:p>
        </w:tc>
      </w:tr>
      <w:tr>
        <w:tc>
          <w:tcPr/>
          <w:p>
            <w:pPr>
              <w:pStyle w:val="Compact"/>
              <w:jc w:val="left"/>
            </w:pPr>
            <w:r>
              <w:t xml:space="preserve">3</w:t>
            </w:r>
          </w:p>
        </w:tc>
        <w:tc>
          <w:tcPr/>
          <w:p>
            <w:pPr>
              <w:pStyle w:val="Compact"/>
              <w:jc w:val="left"/>
            </w:pPr>
            <w:r>
              <w:t xml:space="preserve">Peer review and technical validation of the client's white paper on photonic integrated circuits. The Physicist provided comprehensive feedback on the electromagnetic wave propagation equations and suggested revisions to improve scientific accuracy.</w:t>
            </w:r>
          </w:p>
        </w:tc>
        <w:tc>
          <w:tcPr/>
          <w:p>
            <w:pPr>
              <w:pStyle w:val="Compact"/>
              <w:jc w:val="left"/>
            </w:pPr>
            <w:r>
              <w:t xml:space="preserve">May 26 – May 28, 2025</w:t>
            </w:r>
          </w:p>
        </w:tc>
        <w:tc>
          <w:tcPr/>
          <w:p>
            <w:pPr>
              <w:pStyle w:val="Compact"/>
              <w:jc w:val="left"/>
            </w:pPr>
            <w:r>
              <w:t xml:space="preserve">16</w:t>
            </w:r>
          </w:p>
        </w:tc>
        <w:tc>
          <w:tcPr/>
          <w:p>
            <w:pPr>
              <w:pStyle w:val="Compact"/>
              <w:jc w:val="left"/>
            </w:pPr>
            <w:r>
              <w:t xml:space="preserve">$310.00</w:t>
            </w:r>
          </w:p>
        </w:tc>
        <w:tc>
          <w:tcPr/>
          <w:p>
            <w:pPr>
              <w:pStyle w:val="Compact"/>
              <w:jc w:val="left"/>
            </w:pPr>
            <w:r>
              <w:t xml:space="preserve">$4,960.00</w:t>
            </w:r>
          </w:p>
        </w:tc>
      </w:tr>
      <w:tr>
        <w:tc>
          <w:tcPr/>
          <w:p>
            <w:pPr>
              <w:pStyle w:val="Compact"/>
              <w:jc w:val="left"/>
            </w:pPr>
            <w:r>
              <w:t xml:space="preserve">4</w:t>
            </w:r>
          </w:p>
        </w:tc>
        <w:tc>
          <w:tcPr/>
          <w:p>
            <w:pPr>
              <w:pStyle w:val="Compact"/>
              <w:jc w:val="left"/>
            </w:pPr>
            <w:r>
              <w:t xml:space="preserve">On-site consultation at the Meridian Technologies laboratory in San Francisco, United States. The Physicist conducted a two-day workshop for the R&amp;D team covering advanced statistical mechanics, stochastic processes, and their applications in materials science.</w:t>
            </w:r>
          </w:p>
        </w:tc>
        <w:tc>
          <w:tcPr/>
          <w:p>
            <w:pPr>
              <w:pStyle w:val="Compact"/>
              <w:jc w:val="left"/>
            </w:pPr>
            <w:r>
              <w:t xml:space="preserve">June 2 – June 3, 2025</w:t>
            </w:r>
          </w:p>
        </w:tc>
        <w:tc>
          <w:tcPr/>
          <w:p>
            <w:pPr>
              <w:pStyle w:val="Compact"/>
              <w:jc w:val="left"/>
            </w:pPr>
            <w:r>
              <w:t xml:space="preserve">16</w:t>
            </w:r>
          </w:p>
        </w:tc>
        <w:tc>
          <w:tcPr/>
          <w:p>
            <w:pPr>
              <w:pStyle w:val="Compact"/>
              <w:jc w:val="left"/>
            </w:pPr>
            <w:r>
              <w:t xml:space="preserve">$350.00</w:t>
            </w:r>
          </w:p>
        </w:tc>
        <w:tc>
          <w:tcPr/>
          <w:p>
            <w:pPr>
              <w:pStyle w:val="Compact"/>
              <w:jc w:val="left"/>
            </w:pPr>
            <w:r>
              <w:t xml:space="preserve">$5,600.00</w:t>
            </w:r>
          </w:p>
        </w:tc>
      </w:tr>
      <w:tr>
        <w:tc>
          <w:tcPr/>
          <w:p>
            <w:pPr>
              <w:pStyle w:val="Compact"/>
              <w:jc w:val="left"/>
            </w:pPr>
            <w:r>
              <w:t xml:space="preserve">5</w:t>
            </w:r>
          </w:p>
        </w:tc>
        <w:tc>
          <w:tcPr/>
          <w:p>
            <w:pPr>
              <w:pStyle w:val="Compact"/>
              <w:jc w:val="left"/>
            </w:pPr>
            <w:r>
              <w:t xml:space="preserve">Preparation of a detailed technical report on gravitational wave detection methodologies and their potential applications in precision metrology. This report was commissioned specifically for the client's long-term research roadmap in the United States San Francisco metropolitan area.</w:t>
            </w:r>
          </w:p>
        </w:tc>
        <w:tc>
          <w:tcPr/>
          <w:p>
            <w:pPr>
              <w:pStyle w:val="Compact"/>
              <w:jc w:val="left"/>
            </w:pPr>
            <w:r>
              <w:t xml:space="preserve">June 4 – June 10, 2025</w:t>
            </w:r>
          </w:p>
        </w:tc>
        <w:tc>
          <w:tcPr/>
          <w:p>
            <w:pPr>
              <w:pStyle w:val="Compact"/>
              <w:jc w:val="left"/>
            </w:pPr>
            <w:r>
              <w:t xml:space="preserve">24</w:t>
            </w:r>
          </w:p>
        </w:tc>
        <w:tc>
          <w:tcPr/>
          <w:p>
            <w:pPr>
              <w:pStyle w:val="Compact"/>
              <w:jc w:val="left"/>
            </w:pPr>
            <w:r>
              <w:t xml:space="preserve">$275.00</w:t>
            </w:r>
          </w:p>
        </w:tc>
        <w:tc>
          <w:tcPr/>
          <w:p>
            <w:pPr>
              <w:pStyle w:val="Compact"/>
              <w:jc w:val="left"/>
            </w:pPr>
            <w:r>
              <w:t xml:space="preserve">$6,600.00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$39,160.00</w:t>
            </w:r>
          </w:p>
        </w:tc>
      </w:tr>
      <w:tr>
        <w:tc>
          <w:tcPr/>
          <w:p>
            <w:pPr>
              <w:pStyle w:val="Compact"/>
              <w:jc w:val="left"/>
            </w:pPr>
            <w:r>
              <w:t xml:space="preserve">Applicable Discount (5% – Early Engagement)</w:t>
            </w:r>
          </w:p>
        </w:tc>
        <w:tc>
          <w:tcPr/>
          <w:p>
            <w:pPr>
              <w:pStyle w:val="Compact"/>
              <w:jc w:val="left"/>
            </w:pPr>
            <w:r>
              <w:t xml:space="preserve">-$1,958.00</w:t>
            </w:r>
          </w:p>
        </w:tc>
      </w:tr>
      <w:tr>
        <w:tc>
          <w:tcPr/>
          <w:p>
            <w:pPr>
              <w:pStyle w:val="Compact"/>
              <w:jc w:val="left"/>
            </w:pPr>
            <w:r>
              <w:t xml:space="preserve">Adjusted Subtotal</w:t>
            </w:r>
          </w:p>
        </w:tc>
        <w:tc>
          <w:tcPr/>
          <w:p>
            <w:pPr>
              <w:pStyle w:val="Compact"/>
              <w:jc w:val="left"/>
            </w:pPr>
            <w:r>
              <w:t xml:space="preserve">$37,202.00</w:t>
            </w:r>
          </w:p>
        </w:tc>
      </w:tr>
      <w:tr>
        <w:tc>
          <w:tcPr/>
          <w:p>
            <w:pPr>
              <w:pStyle w:val="Compact"/>
              <w:jc w:val="left"/>
            </w:pPr>
            <w:r>
              <w:t xml:space="preserve">California State Sales Tax (8.5%)</w:t>
            </w:r>
          </w:p>
        </w:tc>
        <w:tc>
          <w:tcPr/>
          <w:p>
            <w:pPr>
              <w:pStyle w:val="Compact"/>
              <w:jc w:val="left"/>
            </w:pPr>
            <w:r>
              <w:t xml:space="preserve">$3,162.17</w:t>
            </w:r>
          </w:p>
        </w:tc>
      </w:tr>
      <w:tr>
        <w:tc>
          <w:tcPr/>
          <w:p>
            <w:pPr>
              <w:pStyle w:val="Compact"/>
              <w:jc w:val="left"/>
            </w:pPr>
            <w:r>
              <w:t xml:space="preserve">San Francisco City Tax (0.3%)</w:t>
            </w:r>
          </w:p>
        </w:tc>
        <w:tc>
          <w:tcPr/>
          <w:p>
            <w:pPr>
              <w:pStyle w:val="Compact"/>
              <w:jc w:val="left"/>
            </w:pPr>
            <w:r>
              <w:t xml:space="preserve">$111.61</w:t>
            </w:r>
          </w:p>
        </w:tc>
      </w:tr>
      <w:tr>
        <w:tc>
          <w:tcPr/>
          <w:p>
            <w:pPr>
              <w:pStyle w:val="Compact"/>
              <w:jc w:val="left"/>
            </w:pPr>
            <w:r>
              <w:t xml:space="preserve">GRAND TOTAL DUE</w:t>
            </w:r>
          </w:p>
        </w:tc>
        <w:tc>
          <w:tcPr/>
          <w:p>
            <w:pPr>
              <w:pStyle w:val="Compact"/>
              <w:jc w:val="left"/>
            </w:pPr>
            <w:r>
              <w:t xml:space="preserve">$40,475.78</w:t>
            </w:r>
          </w:p>
        </w:tc>
      </w:tr>
    </w:tbl>
    <w:p>
      <w:pPr>
        <w:pStyle w:val="BodyText"/>
      </w:pPr>
      <w:r>
        <w:rPr>
          <w:bCs/>
          <w:b/>
        </w:rPr>
        <w:t xml:space="preserve">Payment Instructions:</w:t>
      </w:r>
      <w:r>
        <w:br/>
      </w:r>
      <w:r>
        <w:t xml:space="preserve">This Invoice must be settled within thirty (30) calendar days of the Invoice date, no later than July 12, 2025. Payment may be made via wire transfer to Vasquez Physics Consulting Group, Bank of America, Account No. 4471-8829-003, Routing No. 121000248, San Francisco, California, United States. Alternatively, checks may be mailed to the address listed above. Please reference Invoice Number INV-2025-SF-0487 on all remittances. A late payment fee of 1.5% per month will be applied to any outstanding balance after the due date, in accordance with California Commercial Code Section 2310.</w:t>
      </w:r>
    </w:p>
    <w:bookmarkStart w:id="23" w:name="additional-notes-terms"/>
    <w:p>
      <w:pPr>
        <w:pStyle w:val="Heading4"/>
      </w:pPr>
      <w:r>
        <w:t xml:space="preserve">Additional Notes &amp; Terms</w:t>
      </w:r>
    </w:p>
    <w:p>
      <w:pPr>
        <w:pStyle w:val="FirstParagraph"/>
      </w:pPr>
      <w:r>
        <w:t xml:space="preserve">1. All services described in this Invoice were performed by Dr. Elena M. Vasquez, a licensed and credentialed Physicist operating within the jurisdiction of the State of California, United States. The Physicist holds a Doctor of Philosophy in Theoretical Physics from the University of California, Berkeley, and maintains active membership in the American Physical Society (APS) and the San Francisco Bay Area Physics Association.</w:t>
      </w:r>
    </w:p>
    <w:p>
      <w:pPr>
        <w:pStyle w:val="BodyText"/>
      </w:pPr>
      <w:r>
        <w:t xml:space="preserve">2. This Invoice covers professional consulting, research, and educational services rendered exclusively in the United States San Francisco metropolitan area. All intellectual property generated during the engagement period (May 5 – June 10, 2025) shall be jointly owned by the Physicist and Meridian Technologies, Inc., as stipulated in the Master Service Agreement dated March 1, 2025.</w:t>
      </w:r>
    </w:p>
    <w:p>
      <w:pPr>
        <w:pStyle w:val="BodyText"/>
      </w:pPr>
      <w:r>
        <w:t xml:space="preserve">3. The Physicist confirms that all calculations, simulations, and theoretical analyses provided were conducted in strict adherence to the ethical guidelines established by the American Physical Society and the National Science Foundation. No classified or restricted data was accessed or transmitted in connection with this engagement.</w:t>
      </w:r>
    </w:p>
    <w:p>
      <w:pPr>
        <w:pStyle w:val="BodyText"/>
      </w:pPr>
      <w:r>
        <w:t xml:space="preserve">4. Should the client require additional physics consulting, supplementary research, or further peer review services, a revised Invoice will be issued within five (5) business days of the completion of said services. The Physicist reserves the right to adjust hourly rates annually based on the Consumer Price Index for the San Francisco-Oakland-Hayward metropolitan statistical area.</w:t>
      </w:r>
    </w:p>
    <w:p>
      <w:pPr>
        <w:pStyle w:val="BodyText"/>
      </w:pPr>
      <w:r>
        <w:t xml:space="preserve">5. This Invoice is governed by the laws of the State of California and the federal laws of the United States of America. Any disputes arising from this Invoice or the underlying services shall be resolved through binding arbitration in San Francisco, California, in accordance with the rules of the American Arbitration Association.</w:t>
      </w:r>
    </w:p>
    <w:bookmarkEnd w:id="23"/>
    <w:p>
      <w:pPr>
        <w:pStyle w:val="BodyText"/>
      </w:pPr>
      <w:r>
        <w:rPr>
          <w:bCs/>
          <w:b/>
        </w:rPr>
        <w:t xml:space="preserve">Vasquez Physics Consulting Group</w:t>
      </w:r>
      <w:r>
        <w:t xml:space="preserve"> </w:t>
      </w:r>
      <w:r>
        <w:t xml:space="preserve">| 1455 Market Street, Suite 2840, San Francisco, CA 94103, United States</w:t>
      </w:r>
    </w:p>
    <w:p>
      <w:pPr>
        <w:pStyle w:val="BodyText"/>
      </w:pPr>
      <w:r>
        <w:t xml:space="preserve">CA Contractor License: PHYC-2019-88432 | EIN: 94-5567821 | Registered in the State of California, United States</w:t>
      </w:r>
    </w:p>
    <w:p>
      <w:pPr>
        <w:pStyle w:val="BodyText"/>
      </w:pPr>
      <w:r>
        <w:t xml:space="preserve">This Invoice was generated electronically and is valid without a physical signature. For questions regarding this Invoice, please contact the Physicist directly at (415) 555-0192 or e.vasquez@vasquezphysics.com.</w:t>
      </w:r>
    </w:p>
    <w:p>
      <w:pPr>
        <w:pStyle w:val="BodyText"/>
      </w:pPr>
      <w:r>
        <w:t xml:space="preserve">© 2025 Vasquez Physics Consulting Group. All rights reserved. Invoice INV-2025-SF-0487.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Dr. Elena Vasquez, Physicist - San Francisco, United States</dc:title>
  <dc:creator/>
  <dc:language>en</dc:language>
  <cp:keywords/>
  <dcterms:created xsi:type="dcterms:W3CDTF">2026-10-10T01:06:45Z</dcterms:created>
  <dcterms:modified xsi:type="dcterms:W3CDTF">2026-10-10T01:06:45Z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