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Security</w:t>
      </w:r>
      <w:r>
        <w:t xml:space="preserve"> </w:t>
      </w:r>
      <w:r>
        <w:t xml:space="preserve">Services</w:t>
      </w:r>
      <w:r>
        <w:t xml:space="preserve"> </w:t>
      </w:r>
      <w:r>
        <w:t xml:space="preserve">-</w:t>
      </w:r>
      <w:r>
        <w:t xml:space="preserve"> </w:t>
      </w:r>
      <w:r>
        <w:t xml:space="preserve">Israel</w:t>
      </w:r>
      <w:r>
        <w:t xml:space="preserve"> </w:t>
      </w:r>
      <w:r>
        <w:t xml:space="preserve">Tel</w:t>
      </w:r>
      <w:r>
        <w:t xml:space="preserve"> </w:t>
      </w:r>
      <w:r>
        <w:t xml:space="preserve">Aviv</w:t>
      </w:r>
    </w:p>
    <w:p>
      <w:pPr>
        <w:pStyle w:val="FirstParagraph"/>
      </w:pPr>
      <w:r>
        <w:t xml:space="preserve">Official Invoice</w:t>
      </w:r>
    </w:p>
    <w:p>
      <w:pPr>
        <w:pStyle w:val="BodyText"/>
      </w:pPr>
      <w:r>
        <w:t xml:space="preserve">INVOICE</w:t>
      </w:r>
    </w:p>
    <w:p>
      <w:pPr>
        <w:pStyle w:val="BodyText"/>
      </w:pPr>
      <w:r>
        <w:t xml:space="preserve">Professional Security &amp; Law Enforcement Consulting Services</w:t>
      </w:r>
    </w:p>
    <w:p>
      <w:pPr>
        <w:pStyle w:val="BodyText"/>
      </w:pPr>
      <w:r>
        <w:rPr>
          <w:bCs/>
          <w:b/>
        </w:rPr>
        <w:t xml:space="preserve">Invoice Number:</w:t>
      </w:r>
      <w:r>
        <w:t xml:space="preserve"> </w:t>
      </w:r>
      <w:r>
        <w:t xml:space="preserve">IL-TLV-2025-04871</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Israeli New Shekel (ILS / ₪)</w:t>
      </w:r>
    </w:p>
    <w:bookmarkStart w:id="20" w:name="issued-by-service-provider"/>
    <w:p>
      <w:pPr>
        <w:pStyle w:val="Heading3"/>
      </w:pPr>
      <w:r>
        <w:t xml:space="preserve">Issued By (Service Provider)</w:t>
      </w:r>
    </w:p>
    <w:p>
      <w:pPr>
        <w:pStyle w:val="FirstParagraph"/>
      </w:pPr>
      <w:r>
        <w:rPr>
          <w:bCs/>
          <w:b/>
        </w:rPr>
        <w:t xml:space="preserve">Name:</w:t>
      </w:r>
      <w:r>
        <w:t xml:space="preserve"> </w:t>
      </w:r>
      <w:r>
        <w:t xml:space="preserve">Captain (Ret.) David Ben-Ari</w:t>
      </w:r>
    </w:p>
    <w:p>
      <w:pPr>
        <w:pStyle w:val="BodyText"/>
      </w:pPr>
      <w:r>
        <w:rPr>
          <w:bCs/>
          <w:b/>
        </w:rPr>
        <w:t xml:space="preserve">Title:</w:t>
      </w:r>
      <w:r>
        <w:t xml:space="preserve"> </w:t>
      </w:r>
      <w:r>
        <w:t xml:space="preserve">Senior Police Officer &amp; Security Consultant</w:t>
      </w:r>
    </w:p>
    <w:p>
      <w:pPr>
        <w:pStyle w:val="BodyText"/>
      </w:pPr>
      <w:r>
        <w:rPr>
          <w:bCs/>
          <w:b/>
        </w:rPr>
        <w:t xml:space="preserve">Company:</w:t>
      </w:r>
      <w:r>
        <w:t xml:space="preserve"> </w:t>
      </w:r>
      <w:r>
        <w:t xml:space="preserve">Ben-Ari Security &amp; Law Enforcement Advisory Ltd.</w:t>
      </w:r>
    </w:p>
    <w:p>
      <w:pPr>
        <w:pStyle w:val="BodyText"/>
      </w:pPr>
      <w:r>
        <w:rPr>
          <w:bCs/>
          <w:b/>
        </w:rPr>
        <w:t xml:space="preserve">Address:</w:t>
      </w:r>
      <w:r>
        <w:t xml:space="preserve"> </w:t>
      </w:r>
      <w:r>
        <w:t xml:space="preserve">42 Herzl Street, Tel Aviv-Yafo, Israel Tel Aviv 6350001</w:t>
      </w:r>
    </w:p>
    <w:p>
      <w:pPr>
        <w:pStyle w:val="BodyText"/>
      </w:pPr>
      <w:r>
        <w:rPr>
          <w:bCs/>
          <w:b/>
        </w:rPr>
        <w:t xml:space="preserve">VAT Number:</w:t>
      </w:r>
      <w:r>
        <w:t xml:space="preserve"> </w:t>
      </w:r>
      <w:r>
        <w:t xml:space="preserve">51-804-221-77</w:t>
      </w:r>
    </w:p>
    <w:p>
      <w:pPr>
        <w:pStyle w:val="BodyText"/>
      </w:pPr>
      <w:r>
        <w:rPr>
          <w:bCs/>
          <w:b/>
        </w:rPr>
        <w:t xml:space="preserve">Phone:</w:t>
      </w:r>
      <w:r>
        <w:t xml:space="preserve"> </w:t>
      </w:r>
      <w:r>
        <w:t xml:space="preserve">+972-3-621-4489</w:t>
      </w:r>
    </w:p>
    <w:p>
      <w:pPr>
        <w:pStyle w:val="BodyText"/>
      </w:pPr>
      <w:r>
        <w:rPr>
          <w:bCs/>
          <w:b/>
        </w:rPr>
        <w:t xml:space="preserve">Email:</w:t>
      </w:r>
      <w:r>
        <w:t xml:space="preserve"> </w:t>
      </w:r>
      <w:r>
        <w:t xml:space="preserve">d.benari@benarisecurity.co.il</w:t>
      </w:r>
    </w:p>
    <w:bookmarkEnd w:id="20"/>
    <w:bookmarkStart w:id="21" w:name="issued-to-client"/>
    <w:p>
      <w:pPr>
        <w:pStyle w:val="Heading3"/>
      </w:pPr>
      <w:r>
        <w:t xml:space="preserve">Issued To (Client)</w:t>
      </w:r>
    </w:p>
    <w:p>
      <w:pPr>
        <w:pStyle w:val="FirstParagraph"/>
      </w:pPr>
      <w:r>
        <w:rPr>
          <w:bCs/>
          <w:b/>
        </w:rPr>
        <w:t xml:space="preserve">Company:</w:t>
      </w:r>
      <w:r>
        <w:t xml:space="preserve"> </w:t>
      </w:r>
      <w:r>
        <w:t xml:space="preserve">Mediterranean Coastal Properties Group Ltd.</w:t>
      </w:r>
    </w:p>
    <w:p>
      <w:pPr>
        <w:pStyle w:val="BodyText"/>
      </w:pPr>
      <w:r>
        <w:rPr>
          <w:bCs/>
          <w:b/>
        </w:rPr>
        <w:t xml:space="preserve">Attention:</w:t>
      </w:r>
      <w:r>
        <w:t xml:space="preserve"> </w:t>
      </w:r>
      <w:r>
        <w:t xml:space="preserve">Ms. Rachel Goldstein, Chief Operations Officer</w:t>
      </w:r>
    </w:p>
    <w:p>
      <w:pPr>
        <w:pStyle w:val="BodyText"/>
      </w:pPr>
      <w:r>
        <w:rPr>
          <w:bCs/>
          <w:b/>
        </w:rPr>
        <w:t xml:space="preserve">Address:</w:t>
      </w:r>
      <w:r>
        <w:t xml:space="preserve"> </w:t>
      </w:r>
      <w:r>
        <w:t xml:space="preserve">18 Rothschild Boulevard, Tel Aviv-Yafo, Israel Tel Aviv 6520003</w:t>
      </w:r>
    </w:p>
    <w:p>
      <w:pPr>
        <w:pStyle w:val="BodyText"/>
      </w:pPr>
      <w:r>
        <w:rPr>
          <w:bCs/>
          <w:b/>
        </w:rPr>
        <w:t xml:space="preserve">VAT Number:</w:t>
      </w:r>
      <w:r>
        <w:t xml:space="preserve"> </w:t>
      </w:r>
      <w:r>
        <w:t xml:space="preserve">51-667-890-34</w:t>
      </w:r>
    </w:p>
    <w:p>
      <w:pPr>
        <w:pStyle w:val="BodyText"/>
      </w:pPr>
      <w:r>
        <w:rPr>
          <w:bCs/>
          <w:b/>
        </w:rPr>
        <w:t xml:space="preserve">Phone:</w:t>
      </w:r>
      <w:r>
        <w:t xml:space="preserve"> </w:t>
      </w:r>
      <w:r>
        <w:t xml:space="preserve">+972-3-518-7721</w:t>
      </w:r>
    </w:p>
    <w:p>
      <w:pPr>
        <w:pStyle w:val="BodyText"/>
      </w:pPr>
      <w:r>
        <w:rPr>
          <w:bCs/>
          <w:b/>
        </w:rPr>
        <w:t xml:space="preserve">Email:</w:t>
      </w:r>
      <w:r>
        <w:t xml:space="preserve"> </w:t>
      </w:r>
      <w:r>
        <w:t xml:space="preserve">r.goldstein@medcoastal.co.il</w:t>
      </w:r>
    </w:p>
    <w:bookmarkEnd w:id="21"/>
    <w:bookmarkStart w:id="23" w:name="description-of-services-rendered"/>
    <w:p>
      <w:pPr>
        <w:pStyle w:val="Heading3"/>
      </w:pPr>
      <w:r>
        <w:t xml:space="preserve">Description of Services Rendered</w:t>
      </w:r>
    </w:p>
    <w:p>
      <w:pPr>
        <w:pStyle w:val="FirstParagraph"/>
      </w:pPr>
      <w:r>
        <w:t xml:space="preserve">This Invoice documents the professional services provided by a retired Police Officer of the Israel Police (Mishtareet Yisrael) in the capacity of a senior security and law enforcement consultant. The services were rendered in accordance with the contractual agreement dated 01 March 2025 (Contract Ref: MCG-SEC-2025-012) and cover the period from 01 April 2025 through 30 May 2025. The Police Officer consultant provided comprehensive security assessments, operational planning, and regulatory compliance guidance for the client's commercial real estate portfolio located throughout the Israel Tel Aviv metropolitan area.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(ILS/hr)</w:t>
            </w:r>
          </w:p>
        </w:tc>
        <w:tc>
          <w:tcPr/>
          <w:p>
            <w:pPr>
              <w:pStyle w:val="Compact"/>
              <w:jc w:val="left"/>
            </w:pPr>
            <w:r>
              <w:t xml:space="preserve">Amount (ILS)</w:t>
            </w:r>
          </w:p>
        </w:tc>
      </w:tr>
      <w:tr>
        <w:tc>
          <w:tcPr/>
          <w:p>
            <w:pPr>
              <w:pStyle w:val="Compact"/>
              <w:jc w:val="left"/>
            </w:pPr>
            <w:r>
              <w:t xml:space="preserve">01</w:t>
            </w:r>
          </w:p>
        </w:tc>
        <w:tc>
          <w:tcPr/>
          <w:p>
            <w:pPr>
              <w:pStyle w:val="Compact"/>
              <w:jc w:val="left"/>
            </w:pPr>
            <w:r>
              <w:t xml:space="preserve">Comprehensive security risk assessment of the client's three commercial properties in the Israel Tel Aviv district, including perimeter analysis, access control evaluation, and threat modeling conducted by the Police Officer consultant.</w:t>
            </w:r>
          </w:p>
        </w:tc>
        <w:tc>
          <w:tcPr/>
          <w:p>
            <w:pPr>
              <w:pStyle w:val="Compact"/>
              <w:jc w:val="left"/>
            </w:pPr>
            <w:r>
              <w:t xml:space="preserve">04 Apr 2025</w:t>
            </w:r>
          </w:p>
        </w:tc>
        <w:tc>
          <w:tcPr/>
          <w:p>
            <w:pPr>
              <w:pStyle w:val="Compact"/>
              <w:jc w:val="left"/>
            </w:pPr>
            <w:r>
              <w:t xml:space="preserve">16</w:t>
            </w:r>
          </w:p>
        </w:tc>
        <w:tc>
          <w:tcPr/>
          <w:p>
            <w:pPr>
              <w:pStyle w:val="Compact"/>
              <w:jc w:val="left"/>
            </w:pPr>
            <w:r>
              <w:t xml:space="preserve">₪ 850</w:t>
            </w:r>
          </w:p>
        </w:tc>
        <w:tc>
          <w:tcPr/>
          <w:p>
            <w:pPr>
              <w:pStyle w:val="Compact"/>
              <w:jc w:val="left"/>
            </w:pPr>
            <w:r>
              <w:t xml:space="preserve">₪ 13,600.00</w:t>
            </w:r>
          </w:p>
        </w:tc>
      </w:tr>
      <w:tr>
        <w:tc>
          <w:tcPr/>
          <w:p>
            <w:pPr>
              <w:pStyle w:val="Compact"/>
              <w:jc w:val="left"/>
            </w:pPr>
            <w:r>
              <w:t xml:space="preserve">02</w:t>
            </w:r>
          </w:p>
        </w:tc>
        <w:tc>
          <w:tcPr/>
          <w:p>
            <w:pPr>
              <w:pStyle w:val="Compact"/>
              <w:jc w:val="left"/>
            </w:pPr>
            <w:r>
              <w:t xml:space="preserve">Development of a layered security operations plan aligned with Israel Police protocols and national security guidelines, prepared and presented by the Police Officer to the client's executive board in Tel Aviv.</w:t>
            </w:r>
          </w:p>
        </w:tc>
        <w:tc>
          <w:tcPr/>
          <w:p>
            <w:pPr>
              <w:pStyle w:val="Compact"/>
              <w:jc w:val="left"/>
            </w:pPr>
            <w:r>
              <w:t xml:space="preserve">11 Apr 2025</w:t>
            </w:r>
          </w:p>
        </w:tc>
        <w:tc>
          <w:tcPr/>
          <w:p>
            <w:pPr>
              <w:pStyle w:val="Compact"/>
              <w:jc w:val="left"/>
            </w:pPr>
            <w:r>
              <w:t xml:space="preserve">24</w:t>
            </w:r>
          </w:p>
        </w:tc>
        <w:tc>
          <w:tcPr/>
          <w:p>
            <w:pPr>
              <w:pStyle w:val="Compact"/>
              <w:jc w:val="left"/>
            </w:pPr>
            <w:r>
              <w:t xml:space="preserve">₪ 850</w:t>
            </w:r>
          </w:p>
        </w:tc>
        <w:tc>
          <w:tcPr/>
          <w:p>
            <w:pPr>
              <w:pStyle w:val="Compact"/>
              <w:jc w:val="left"/>
            </w:pPr>
            <w:r>
              <w:t xml:space="preserve">₪ 20,400.00</w:t>
            </w:r>
          </w:p>
        </w:tc>
      </w:tr>
      <w:tr>
        <w:tc>
          <w:tcPr/>
          <w:p>
            <w:pPr>
              <w:pStyle w:val="Compact"/>
              <w:jc w:val="left"/>
            </w:pPr>
            <w:r>
              <w:t xml:space="preserve">03</w:t>
            </w:r>
          </w:p>
        </w:tc>
        <w:tc>
          <w:tcPr/>
          <w:p>
            <w:pPr>
              <w:pStyle w:val="Compact"/>
              <w:jc w:val="left"/>
            </w:pPr>
            <w:r>
              <w:t xml:space="preserve">On-site training and certification of 42 private security personnel in law enforcement-adjacent procedures, emergency response, and crowd management, delivered by the Police Officer at the client's headquarters in Israel Tel Aviv.</w:t>
            </w:r>
          </w:p>
        </w:tc>
        <w:tc>
          <w:tcPr/>
          <w:p>
            <w:pPr>
              <w:pStyle w:val="Compact"/>
              <w:jc w:val="left"/>
            </w:pPr>
            <w:r>
              <w:t xml:space="preserve">25 Apr 2025</w:t>
            </w:r>
          </w:p>
        </w:tc>
        <w:tc>
          <w:tcPr/>
          <w:p>
            <w:pPr>
              <w:pStyle w:val="Compact"/>
              <w:jc w:val="left"/>
            </w:pPr>
            <w:r>
              <w:t xml:space="preserve">32</w:t>
            </w:r>
          </w:p>
        </w:tc>
        <w:tc>
          <w:tcPr/>
          <w:p>
            <w:pPr>
              <w:pStyle w:val="Compact"/>
              <w:jc w:val="left"/>
            </w:pPr>
            <w:r>
              <w:t xml:space="preserve">₪ 850</w:t>
            </w:r>
          </w:p>
        </w:tc>
        <w:tc>
          <w:tcPr/>
          <w:p>
            <w:pPr>
              <w:pStyle w:val="Compact"/>
              <w:jc w:val="left"/>
            </w:pPr>
            <w:r>
              <w:t xml:space="preserve">₪ 27,200.00</w:t>
            </w:r>
          </w:p>
        </w:tc>
      </w:tr>
      <w:tr>
        <w:tc>
          <w:tcPr/>
          <w:p>
            <w:pPr>
              <w:pStyle w:val="Compact"/>
              <w:jc w:val="left"/>
            </w:pPr>
            <w:r>
              <w:t xml:space="preserve">04</w:t>
            </w:r>
          </w:p>
        </w:tc>
        <w:tc>
          <w:tcPr/>
          <w:p>
            <w:pPr>
              <w:pStyle w:val="Compact"/>
              <w:jc w:val="left"/>
            </w:pPr>
            <w:r>
              <w:t xml:space="preserve">Regulatory compliance audit ensuring all security installations and operational procedures meet the requirements of the Israeli Ministry of Public Security and local Tel Aviv municipal ordinances.</w:t>
            </w:r>
          </w:p>
        </w:tc>
        <w:tc>
          <w:tcPr/>
          <w:p>
            <w:pPr>
              <w:pStyle w:val="Compact"/>
              <w:jc w:val="left"/>
            </w:pPr>
            <w:r>
              <w:t xml:space="preserve">09 May 2025</w:t>
            </w:r>
          </w:p>
        </w:tc>
        <w:tc>
          <w:tcPr/>
          <w:p>
            <w:pPr>
              <w:pStyle w:val="Compact"/>
              <w:jc w:val="left"/>
            </w:pPr>
            <w:r>
              <w:t xml:space="preserve">12</w:t>
            </w:r>
          </w:p>
        </w:tc>
        <w:tc>
          <w:tcPr/>
          <w:p>
            <w:pPr>
              <w:pStyle w:val="Compact"/>
              <w:jc w:val="left"/>
            </w:pPr>
            <w:r>
              <w:t xml:space="preserve">₪ 850</w:t>
            </w:r>
          </w:p>
        </w:tc>
        <w:tc>
          <w:tcPr/>
          <w:p>
            <w:pPr>
              <w:pStyle w:val="Compact"/>
              <w:jc w:val="left"/>
            </w:pPr>
            <w:r>
              <w:t xml:space="preserve">₪ 10,200.00</w:t>
            </w:r>
          </w:p>
        </w:tc>
      </w:tr>
      <w:tr>
        <w:tc>
          <w:tcPr/>
          <w:p>
            <w:pPr>
              <w:pStyle w:val="Compact"/>
              <w:jc w:val="left"/>
            </w:pPr>
            <w:r>
              <w:t xml:space="preserve">05</w:t>
            </w:r>
          </w:p>
        </w:tc>
        <w:tc>
          <w:tcPr/>
          <w:p>
            <w:pPr>
              <w:pStyle w:val="Compact"/>
              <w:jc w:val="left"/>
            </w:pPr>
            <w:r>
              <w:t xml:space="preserve">Incident response tabletop exercise and post-exercise debriefing session, facilitated by the Police Officer with participation from the Israel Police Tel Aviv District liaison office.</w:t>
            </w:r>
          </w:p>
        </w:tc>
        <w:tc>
          <w:tcPr/>
          <w:p>
            <w:pPr>
              <w:pStyle w:val="Compact"/>
              <w:jc w:val="left"/>
            </w:pPr>
            <w:r>
              <w:t xml:space="preserve">22 May 2025</w:t>
            </w:r>
          </w:p>
        </w:tc>
        <w:tc>
          <w:tcPr/>
          <w:p>
            <w:pPr>
              <w:pStyle w:val="Compact"/>
              <w:jc w:val="left"/>
            </w:pPr>
            <w:r>
              <w:t xml:space="preserve">8</w:t>
            </w:r>
          </w:p>
        </w:tc>
        <w:tc>
          <w:tcPr/>
          <w:p>
            <w:pPr>
              <w:pStyle w:val="Compact"/>
              <w:jc w:val="left"/>
            </w:pPr>
            <w:r>
              <w:t xml:space="preserve">₪ 850</w:t>
            </w:r>
          </w:p>
        </w:tc>
        <w:tc>
          <w:tcPr/>
          <w:p>
            <w:pPr>
              <w:pStyle w:val="Compact"/>
              <w:jc w:val="left"/>
            </w:pPr>
            <w:r>
              <w:t xml:space="preserve">₪ 6,800.00</w:t>
            </w:r>
          </w:p>
        </w:tc>
      </w:tr>
      <w:tr>
        <w:tc>
          <w:tcPr/>
          <w:p>
            <w:pPr>
              <w:pStyle w:val="Compact"/>
              <w:jc w:val="left"/>
            </w:pPr>
            <w:r>
              <w:t xml:space="preserve">06</w:t>
            </w:r>
          </w:p>
        </w:tc>
        <w:tc>
          <w:tcPr/>
          <w:p>
            <w:pPr>
              <w:pStyle w:val="Compact"/>
              <w:jc w:val="left"/>
            </w:pPr>
            <w:r>
              <w:t xml:space="preserve">Preparation and submission of the final comprehensive security report, including recommendations for long-term infrastructure investment and ongoing Police Officer liaison coordination with local Israel Tel Aviv law enforcement units.</w:t>
            </w:r>
          </w:p>
        </w:tc>
        <w:tc>
          <w:tcPr/>
          <w:p>
            <w:pPr>
              <w:pStyle w:val="Compact"/>
              <w:jc w:val="left"/>
            </w:pPr>
            <w:r>
              <w:t xml:space="preserve">30 May 2025</w:t>
            </w:r>
          </w:p>
        </w:tc>
        <w:tc>
          <w:tcPr/>
          <w:p>
            <w:pPr>
              <w:pStyle w:val="Compact"/>
              <w:jc w:val="left"/>
            </w:pPr>
            <w:r>
              <w:t xml:space="preserve">10</w:t>
            </w:r>
          </w:p>
        </w:tc>
        <w:tc>
          <w:tcPr/>
          <w:p>
            <w:pPr>
              <w:pStyle w:val="Compact"/>
              <w:jc w:val="left"/>
            </w:pPr>
            <w:r>
              <w:t xml:space="preserve">₪ 850</w:t>
            </w:r>
          </w:p>
        </w:tc>
        <w:tc>
          <w:tcPr/>
          <w:p>
            <w:pPr>
              <w:pStyle w:val="Compact"/>
              <w:jc w:val="left"/>
            </w:pPr>
            <w:r>
              <w:t xml:space="preserve">₪ 8,500.00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86,700.00</w:t>
            </w:r>
          </w:p>
        </w:tc>
      </w:tr>
      <w:tr>
        <w:tc>
          <w:tcPr/>
          <w:p>
            <w:pPr>
              <w:pStyle w:val="Compact"/>
              <w:jc w:val="left"/>
            </w:pPr>
            <w:r>
              <w:t xml:space="preserve">VAT (18%)</w:t>
            </w:r>
          </w:p>
        </w:tc>
        <w:tc>
          <w:tcPr/>
          <w:p>
            <w:pPr>
              <w:pStyle w:val="Compact"/>
              <w:jc w:val="right"/>
            </w:pPr>
            <w:r>
              <w:t xml:space="preserve">₪ 15,606.00</w:t>
            </w:r>
          </w:p>
        </w:tc>
      </w:tr>
      <w:tr>
        <w:tc>
          <w:tcPr/>
          <w:p>
            <w:pPr>
              <w:pStyle w:val="Compact"/>
              <w:jc w:val="left"/>
            </w:pPr>
            <w:r>
              <w:t xml:space="preserve">Grand Total Due</w:t>
            </w:r>
          </w:p>
        </w:tc>
        <w:tc>
          <w:tcPr/>
          <w:p>
            <w:pPr>
              <w:pStyle w:val="Compact"/>
              <w:jc w:val="right"/>
            </w:pPr>
            <w:r>
              <w:t xml:space="preserve">₪ 102,306.00</w:t>
            </w:r>
          </w:p>
        </w:tc>
      </w:tr>
    </w:tbl>
    <w:bookmarkStart w:id="22" w:name="payment-instructions-important-notes"/>
    <w:p>
      <w:pPr>
        <w:pStyle w:val="Heading4"/>
      </w:pPr>
      <w:r>
        <w:t xml:space="preserve">Payment Instructions &amp; Important Notes</w:t>
      </w:r>
    </w:p>
    <w:p>
      <w:pPr>
        <w:pStyle w:val="FirstParagraph"/>
      </w:pPr>
      <w:r>
        <w:rPr>
          <w:bCs/>
          <w:b/>
        </w:rPr>
        <w:t xml:space="preserve">Bank Transfer:</w:t>
      </w:r>
      <w:r>
        <w:t xml:space="preserve"> </w:t>
      </w:r>
      <w:r>
        <w:t xml:space="preserve">Bank of Israel, Branch Tel Aviv Central. Account Name: Ben-Ari Security &amp; Law Enforcement Advisory Ltd. Account Number: 001-123456-7. IBAN: IL15 0101 0000 0000 1234 567. Please reference Invoice Number IL-TLV-2025-04871 in all payment communications.</w:t>
      </w:r>
    </w:p>
    <w:p>
      <w:pPr>
        <w:pStyle w:val="BodyText"/>
      </w:pPr>
      <w:r>
        <w:rPr>
          <w:bCs/>
          <w:b/>
        </w:rPr>
        <w:t xml:space="preserve">Terms:</w:t>
      </w:r>
      <w:r>
        <w:t xml:space="preserve"> </w:t>
      </w:r>
      <w:r>
        <w:t xml:space="preserve">Payment is due within fifteen (15) calendar days from the date of this Invoice. Late payments shall accrue interest at the rate of 1.5% per month in accordance with Israeli commercial law. This Invoice is valid for 90 days from the date of issue.</w:t>
      </w:r>
    </w:p>
    <w:p>
      <w:pPr>
        <w:pStyle w:val="BodyText"/>
      </w:pPr>
      <w:r>
        <w:rPr>
          <w:bCs/>
          <w:b/>
        </w:rPr>
        <w:t xml:space="preserve">Professional Disclaimer:</w:t>
      </w:r>
      <w:r>
        <w:t xml:space="preserve"> </w:t>
      </w:r>
      <w:r>
        <w:t xml:space="preserve">The services described in this Invoice were provided by a retired Police Officer acting in a private consulting capacity. The Police Officer does not represent the Israel Police, the Ministry of Public Security, or any governmental body of the State of Israel. All recommendations are advisory in nature and do not constitute legal counsel. The client acknowledges that the Police Officer consultant operates independently and is not bound by any official law enforcement mandate.</w:t>
      </w:r>
    </w:p>
    <w:p>
      <w:pPr>
        <w:pStyle w:val="BodyText"/>
      </w:pPr>
      <w:r>
        <w:rPr>
          <w:bCs/>
          <w:b/>
        </w:rPr>
        <w:t xml:space="preserve">Compliance:</w:t>
      </w:r>
      <w:r>
        <w:t xml:space="preserve"> </w:t>
      </w:r>
      <w:r>
        <w:t xml:space="preserve">All services were conducted in full compliance with the Israeli Privacy Protection Law (5741-1981), the Private Security Services Law, and applicable regulations of the Israel Tel Aviv municipality. No classified or restricted government information was accessed, shared, or utilized in the preparation of this Invoice or the services it documents.</w:t>
      </w:r>
    </w:p>
    <w:bookmarkEnd w:id="22"/>
    <w:p>
      <w:pPr>
        <w:pStyle w:val="BodyText"/>
      </w:pPr>
      <w:r>
        <w:t xml:space="preserve">This Invoice was generated and issued by Ben-Ari Security &amp; Law Enforcement Advisory Ltd., a registered private security consulting firm operating in Israel Tel Aviv. The issuing Police Officer consultant holds a valid private security license (License No. PS-2024-08832) issued by the Israeli Ministry of Public Security.</w:t>
      </w:r>
    </w:p>
    <w:p>
      <w:pPr>
        <w:pStyle w:val="BodyText"/>
      </w:pPr>
      <w:r>
        <w:t xml:space="preserve">For questions regarding this Invoice, please contact the billing department at billing@benarisecurity.co.il or call +972-3-621-4489 during business hours (Sunday through Thursday, 08:00–17:00 Israel Standard Time).</w:t>
      </w:r>
    </w:p>
    <w:p>
      <w:pPr>
        <w:pStyle w:val="BodyText"/>
      </w:pPr>
      <w:r>
        <w:t xml:space="preserve">Thank you for your business. We appreciate the opportunity to serve your security needs in Israel Tel Aviv.</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Security Services - Israel Tel Aviv</dc:title>
  <dc:creator/>
  <dc:language>en</dc:language>
  <cp:keywords/>
  <dcterms:created xsi:type="dcterms:W3CDTF">2026-10-10T01:59:23Z</dcterms:created>
  <dcterms:modified xsi:type="dcterms:W3CDTF">2026-10-10T01:59:23Z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