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p>
      <w:pPr>
        <w:pStyle w:val="FirstParagraph"/>
      </w:pPr>
      <w:r>
        <w:t xml:space="preserve">Invoice</w:t>
      </w:r>
    </w:p>
    <w:p>
      <w:pPr>
        <w:pStyle w:val="BodyText"/>
      </w:pPr>
      <w:r>
        <w:t xml:space="preserve">Political Advisory &amp; Public Speaking Services</w:t>
      </w:r>
    </w:p>
    <w:bookmarkStart w:id="20" w:name="invoice-number-inv-ba-2025-0487"/>
    <w:p>
      <w:pPr>
        <w:pStyle w:val="Heading3"/>
      </w:pPr>
      <w:r>
        <w:t xml:space="preserve">Invoice Number: INV-BA-2025-0487</w:t>
      </w:r>
    </w:p>
    <w:p>
      <w:pPr>
        <w:pStyle w:val="FirstParagraph"/>
      </w:pPr>
      <w:r>
        <w:t xml:space="preserve">Issue Date: June 15, 2025</w:t>
      </w:r>
    </w:p>
    <w:p>
      <w:pPr>
        <w:pStyle w:val="BodyText"/>
      </w:pPr>
      <w:r>
        <w:t xml:space="preserve">Due Date: July 15, 2025</w:t>
      </w:r>
    </w:p>
    <w:p>
      <w:pPr>
        <w:pStyle w:val="BodyText"/>
      </w:pPr>
      <w:r>
        <w:t xml:space="preserve">Payment Terms: Net 30 Days</w:t>
      </w:r>
    </w:p>
    <w:p>
      <w:pPr>
        <w:pStyle w:val="BodyText"/>
      </w:pPr>
      <w:r>
        <w:t xml:space="preserve">Buenos Aires, Argentina</w:t>
      </w:r>
    </w:p>
    <w:bookmarkEnd w:id="20"/>
    <w:bookmarkStart w:id="21" w:name="issued-by-politician-service-provider"/>
    <w:p>
      <w:pPr>
        <w:pStyle w:val="Heading4"/>
      </w:pPr>
      <w:r>
        <w:t xml:space="preserve">Issued By (Politician / Service Provider)</w:t>
      </w:r>
    </w:p>
    <w:p>
      <w:pPr>
        <w:pStyle w:val="FirstParagraph"/>
      </w:pPr>
      <w:r>
        <w:rPr>
          <w:bCs/>
          <w:b/>
        </w:rPr>
        <w:t xml:space="preserve">Dr. Alejandro R. Fernández</w:t>
      </w:r>
    </w:p>
    <w:p>
      <w:pPr>
        <w:pStyle w:val="BodyText"/>
      </w:pPr>
      <w:r>
        <w:t xml:space="preserve">Senior Political Advisor &amp; Public Policy Consultant</w:t>
      </w:r>
    </w:p>
    <w:p>
      <w:pPr>
        <w:pStyle w:val="BodyText"/>
      </w:pPr>
      <w:r>
        <w:t xml:space="preserve">Calle Florida 1247, Piso 12</w:t>
      </w:r>
    </w:p>
    <w:p>
      <w:pPr>
        <w:pStyle w:val="BodyText"/>
      </w:pPr>
      <w:r>
        <w:t xml:space="preserve">C1005 ABG – Buenos Aires, Argentina</w:t>
      </w:r>
    </w:p>
    <w:p>
      <w:pPr>
        <w:pStyle w:val="BodyText"/>
      </w:pPr>
      <w:r>
        <w:t xml:space="preserve">CUIT: 20-34567890-1</w:t>
      </w:r>
    </w:p>
    <w:p>
      <w:pPr>
        <w:pStyle w:val="BodyText"/>
      </w:pPr>
      <w:r>
        <w:t xml:space="preserve">Email: a.fernandez@politicaargentina.com.ar</w:t>
      </w:r>
    </w:p>
    <w:p>
      <w:pPr>
        <w:pStyle w:val="BodyText"/>
      </w:pPr>
      <w:r>
        <w:t xml:space="preserve">Phone: +54 11 4321-5678</w:t>
      </w:r>
    </w:p>
    <w:bookmarkEnd w:id="21"/>
    <w:bookmarkStart w:id="22" w:name="issued-to-client"/>
    <w:p>
      <w:pPr>
        <w:pStyle w:val="Heading4"/>
      </w:pPr>
      <w:r>
        <w:t xml:space="preserve">Issued To (Client)</w:t>
      </w:r>
    </w:p>
    <w:p>
      <w:pPr>
        <w:pStyle w:val="FirstParagraph"/>
      </w:pPr>
      <w:r>
        <w:rPr>
          <w:bCs/>
          <w:b/>
        </w:rPr>
        <w:t xml:space="preserve">Consortium for Latin American Development (CLAD)</w:t>
      </w:r>
    </w:p>
    <w:p>
      <w:pPr>
        <w:pStyle w:val="BodyText"/>
      </w:pPr>
      <w:r>
        <w:t xml:space="preserve">Attn: Ms. Carolina Méndez, Director of Strategic Partnerships</w:t>
      </w:r>
    </w:p>
    <w:p>
      <w:pPr>
        <w:pStyle w:val="BodyText"/>
      </w:pPr>
      <w:r>
        <w:t xml:space="preserve">Av. Corrientes 2350, Piso 8</w:t>
      </w:r>
    </w:p>
    <w:p>
      <w:pPr>
        <w:pStyle w:val="BodyText"/>
      </w:pPr>
      <w:r>
        <w:t xml:space="preserve">C1043 AAF – Buenos Aires, Argentina</w:t>
      </w:r>
    </w:p>
    <w:p>
      <w:pPr>
        <w:pStyle w:val="BodyText"/>
      </w:pPr>
      <w:r>
        <w:t xml:space="preserve">CUIT: 30-71234567-8</w:t>
      </w:r>
    </w:p>
    <w:p>
      <w:pPr>
        <w:pStyle w:val="BodyText"/>
      </w:pPr>
      <w:r>
        <w:t xml:space="preserve">Email: c.mendez@clad.org.ar</w:t>
      </w:r>
    </w:p>
    <w:p>
      <w:pPr>
        <w:pStyle w:val="BodyText"/>
      </w:pPr>
      <w:r>
        <w:t xml:space="preserve">Phone: +54 11 5678-9012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Political strategy consultation session for municipal governance reform in the City of Buenos Aires. The Politician provided expert analysis on legislative frameworks, stakeholder engagement protocols, and electoral compliance requirements under Argentine national law.</w:t>
            </w:r>
          </w:p>
        </w:tc>
        <w:tc>
          <w:tcPr/>
          <w:p>
            <w:pPr>
              <w:pStyle w:val="Compact"/>
              <w:jc w:val="left"/>
            </w:pPr>
            <w:r>
              <w:t xml:space="preserve">May 5, 2025</w:t>
            </w:r>
          </w:p>
        </w:tc>
        <w:tc>
          <w:tcPr/>
          <w:p>
            <w:pPr>
              <w:pStyle w:val="Compact"/>
              <w:jc w:val="left"/>
            </w:pPr>
            <w:r>
              <w:t xml:space="preserve">4.0</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Public speaking engagement at the "Future of Argentine Democracy" conference held at the Centro Cultural de la Cooperación, Buenos Aires. The Politician delivered a keynote address on federalism, provincial autonomy, and the role of elected officials in strengthening democratic institutions across Argentina.</w:t>
            </w:r>
          </w:p>
        </w:tc>
        <w:tc>
          <w:tcPr/>
          <w:p>
            <w:pPr>
              <w:pStyle w:val="Compact"/>
              <w:jc w:val="left"/>
            </w:pPr>
            <w:r>
              <w:t xml:space="preserve">May 12, 2025</w:t>
            </w:r>
          </w:p>
        </w:tc>
        <w:tc>
          <w:tcPr/>
          <w:p>
            <w:pPr>
              <w:pStyle w:val="Compact"/>
              <w:jc w:val="left"/>
            </w:pPr>
            <w:r>
              <w:t xml:space="preserve">3.0</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3</w:t>
            </w:r>
          </w:p>
        </w:tc>
        <w:tc>
          <w:tcPr/>
          <w:p>
            <w:pPr>
              <w:pStyle w:val="Compact"/>
              <w:jc w:val="left"/>
            </w:pPr>
            <w:r>
              <w:t xml:space="preserve">Policy research and drafting support for the CLAD annual report on political transparency in Buenos Aires. The Politician contributed to sections covering campaign finance disclosure, lobbying registration, and conflict-of-interest regulations applicable to public officials in the Autonomous City of Buenos Aires.</w:t>
            </w:r>
          </w:p>
        </w:tc>
        <w:tc>
          <w:tcPr/>
          <w:p>
            <w:pPr>
              <w:pStyle w:val="Compact"/>
              <w:jc w:val="left"/>
            </w:pPr>
            <w:r>
              <w:t xml:space="preserve">May 18 – May 22, 2025</w:t>
            </w:r>
          </w:p>
        </w:tc>
        <w:tc>
          <w:tcPr/>
          <w:p>
            <w:pPr>
              <w:pStyle w:val="Compact"/>
              <w:jc w:val="left"/>
            </w:pPr>
            <w:r>
              <w:t xml:space="preserve">16.0</w:t>
            </w:r>
          </w:p>
        </w:tc>
        <w:tc>
          <w:tcPr/>
          <w:p>
            <w:pPr>
              <w:pStyle w:val="Compact"/>
              <w:jc w:val="left"/>
            </w:pPr>
            <w:r>
              <w:t xml:space="preserve">38,000.00</w:t>
            </w:r>
          </w:p>
        </w:tc>
        <w:tc>
          <w:tcPr/>
          <w:p>
            <w:pPr>
              <w:pStyle w:val="Compact"/>
              <w:jc w:val="left"/>
            </w:pPr>
            <w:r>
              <w:t xml:space="preserve">608,000.00</w:t>
            </w:r>
          </w:p>
        </w:tc>
      </w:tr>
      <w:tr>
        <w:tc>
          <w:tcPr/>
          <w:p>
            <w:pPr>
              <w:pStyle w:val="Compact"/>
              <w:jc w:val="left"/>
            </w:pPr>
            <w:r>
              <w:t xml:space="preserve">4</w:t>
            </w:r>
          </w:p>
        </w:tc>
        <w:tc>
          <w:tcPr/>
          <w:p>
            <w:pPr>
              <w:pStyle w:val="Compact"/>
              <w:jc w:val="left"/>
            </w:pPr>
            <w:r>
              <w:t xml:space="preserve">Media training and public communication workshop for CLAD staff members preparing for press engagements regarding Argentine political reform initiatives. Conducted at the Politician's office in the San Nicolás neighborhood of Buenos Aires.</w:t>
            </w:r>
          </w:p>
        </w:tc>
        <w:tc>
          <w:tcPr/>
          <w:p>
            <w:pPr>
              <w:pStyle w:val="Compact"/>
              <w:jc w:val="left"/>
            </w:pPr>
            <w:r>
              <w:t xml:space="preserve">May 28, 2025</w:t>
            </w:r>
          </w:p>
        </w:tc>
        <w:tc>
          <w:tcPr/>
          <w:p>
            <w:pPr>
              <w:pStyle w:val="Compact"/>
              <w:jc w:val="left"/>
            </w:pPr>
            <w:r>
              <w:t xml:space="preserve">6.0</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5</w:t>
            </w:r>
          </w:p>
        </w:tc>
        <w:tc>
          <w:tcPr/>
          <w:p>
            <w:pPr>
              <w:pStyle w:val="Compact"/>
              <w:jc w:val="left"/>
            </w:pPr>
            <w:r>
              <w:t xml:space="preserve">Advisory session with CLAD legal team regarding compliance with the Argentine National Electoral Law (Ley 26.571) and the Buenos Aires City Electoral Code. The Politician reviewed proposed language for a joint political education initiative targeting voters in the 15 electoral districts of the Autonomous City.</w:t>
            </w:r>
          </w:p>
        </w:tc>
        <w:tc>
          <w:tcPr/>
          <w:p>
            <w:pPr>
              <w:pStyle w:val="Compact"/>
              <w:jc w:val="left"/>
            </w:pPr>
            <w:r>
              <w:t xml:space="preserve">June 2, 2025</w:t>
            </w:r>
          </w:p>
        </w:tc>
        <w:tc>
          <w:tcPr/>
          <w:p>
            <w:pPr>
              <w:pStyle w:val="Compact"/>
              <w:jc w:val="left"/>
            </w:pPr>
            <w:r>
              <w:t xml:space="preserve">5.0</w:t>
            </w:r>
          </w:p>
        </w:tc>
        <w:tc>
          <w:tcPr/>
          <w:p>
            <w:pPr>
              <w:pStyle w:val="Compact"/>
              <w:jc w:val="left"/>
            </w:pPr>
            <w:r>
              <w:t xml:space="preserve">48,000.00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Follow-up coordination meeting and final deliverable review for the CLAD political transparency report. The Politician provided editorial revisions, verified all references to Argentine constitutional provisions, and approved the final document for publication in Buenos Aires.</w:t>
            </w:r>
          </w:p>
        </w:tc>
        <w:tc>
          <w:tcPr/>
          <w:p>
            <w:pPr>
              <w:pStyle w:val="Compact"/>
              <w:jc w:val="left"/>
            </w:pPr>
            <w:r>
              <w:t xml:space="preserve">June 10, 2025</w:t>
            </w:r>
          </w:p>
        </w:tc>
        <w:tc>
          <w:tcPr/>
          <w:p>
            <w:pPr>
              <w:pStyle w:val="Compact"/>
              <w:jc w:val="left"/>
            </w:pPr>
            <w:r>
              <w:t xml:space="preserve">3.0</w:t>
            </w:r>
          </w:p>
        </w:tc>
        <w:tc>
          <w:tcPr/>
          <w:p>
            <w:pPr>
              <w:pStyle w:val="Compact"/>
              <w:jc w:val="left"/>
            </w:pPr>
            <w:r>
              <w:t xml:space="preserve">45,000.00</w:t>
            </w:r>
          </w:p>
        </w:tc>
        <w:tc>
          <w:tcPr/>
          <w:p>
            <w:pPr>
              <w:pStyle w:val="Compact"/>
              <w:jc w:val="left"/>
            </w:pPr>
            <w:r>
              <w:t xml:space="preserve">135,000.00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1,580,000.00</w:t>
            </w:r>
          </w:p>
        </w:tc>
      </w:tr>
      <w:tr>
        <w:tc>
          <w:tcPr/>
          <w:p>
            <w:pPr>
              <w:pStyle w:val="Compact"/>
              <w:jc w:val="left"/>
            </w:pPr>
            <w:r>
              <w:t xml:space="preserve">VAT – IVA 21% (Argentina)</w:t>
            </w:r>
          </w:p>
        </w:tc>
        <w:tc>
          <w:tcPr/>
          <w:p>
            <w:pPr>
              <w:pStyle w:val="Compact"/>
              <w:jc w:val="right"/>
            </w:pPr>
            <w:r>
              <w:t xml:space="preserve">331,800.00</w:t>
            </w:r>
          </w:p>
        </w:tc>
      </w:tr>
      <w:tr>
        <w:tc>
          <w:tcPr/>
          <w:p>
            <w:pPr>
              <w:pStyle w:val="Compact"/>
              <w:jc w:val="left"/>
            </w:pPr>
            <w:r>
              <w:t xml:space="preserve">Professional Services Tax (Ingresos Brutos – CABA)</w:t>
            </w:r>
          </w:p>
        </w:tc>
        <w:tc>
          <w:tcPr/>
          <w:p>
            <w:pPr>
              <w:pStyle w:val="Compact"/>
              <w:jc w:val="right"/>
            </w:pPr>
            <w:r>
              <w:t xml:space="preserve">31,600.00</w:t>
            </w:r>
          </w:p>
        </w:tc>
      </w:tr>
      <w:tr>
        <w:tc>
          <w:tcPr/>
          <w:p>
            <w:pPr>
              <w:pStyle w:val="Compact"/>
              <w:jc w:val="left"/>
            </w:pPr>
            <w:r>
              <w:t xml:space="preserve">TOTAL DUE (ARS)</w:t>
            </w:r>
          </w:p>
        </w:tc>
        <w:tc>
          <w:tcPr/>
          <w:p>
            <w:pPr>
              <w:pStyle w:val="Compact"/>
              <w:jc w:val="right"/>
            </w:pPr>
            <w:r>
              <w:t xml:space="preserve">1,943,400.00</w:t>
            </w:r>
          </w:p>
        </w:tc>
      </w:tr>
    </w:tbl>
    <w:bookmarkStart w:id="23" w:name="payment-instructions-notes"/>
    <w:p>
      <w:pPr>
        <w:pStyle w:val="Heading4"/>
      </w:pPr>
      <w:r>
        <w:t xml:space="preserve">Payment Instructions &amp; Notes</w:t>
      </w:r>
    </w:p>
    <w:p>
      <w:pPr>
        <w:pStyle w:val="FirstParagraph"/>
      </w:pPr>
      <w:r>
        <w:rPr>
          <w:bCs/>
          <w:b/>
        </w:rPr>
        <w:t xml:space="preserve">Bank Transfer:</w:t>
      </w:r>
      <w:r>
        <w:t xml:space="preserve"> </w:t>
      </w:r>
      <w:r>
        <w:t xml:space="preserve">Banco de la Nación Argentina – CBU: 0110001000000000000001 – CUIT: 20-34567890-1 – Alias: POLITICA.BA.ARG</w:t>
      </w:r>
    </w:p>
    <w:p>
      <w:pPr>
        <w:pStyle w:val="BodyText"/>
      </w:pPr>
      <w:r>
        <w:rPr>
          <w:bCs/>
          <w:b/>
        </w:rPr>
        <w:t xml:space="preserve">Reference:</w:t>
      </w:r>
      <w:r>
        <w:t xml:space="preserve"> </w:t>
      </w:r>
      <w:r>
        <w:t xml:space="preserve">Please include Invoice Number INV-BA-2025-0487 in the transfer description.</w:t>
      </w:r>
    </w:p>
    <w:p>
      <w:pPr>
        <w:pStyle w:val="BodyText"/>
      </w:pPr>
      <w:r>
        <w:rPr>
          <w:bCs/>
          <w:b/>
        </w:rPr>
        <w:t xml:space="preserve">Currency:</w:t>
      </w:r>
      <w:r>
        <w:t xml:space="preserve"> </w:t>
      </w:r>
      <w:r>
        <w:t xml:space="preserve">All amounts are denominated in Argentine Pesos (ARS). For international payments, the equivalent in USD shall be calculated at the official exchange rate published by the Banco Central de la República Argentina on the date of payment.</w:t>
      </w:r>
    </w:p>
    <w:p>
      <w:pPr>
        <w:pStyle w:val="BodyText"/>
      </w:pPr>
      <w:r>
        <w:rPr>
          <w:bCs/>
          <w:b/>
        </w:rPr>
        <w:t xml:space="preserve">Late Payment:</w:t>
      </w:r>
      <w:r>
        <w:t xml:space="preserve"> </w:t>
      </w:r>
      <w:r>
        <w:t xml:space="preserve">A penalty of 1.5% per month of delay shall apply in accordance with Argentine commercial law (Código Comercial de la Nación, Art. 639).</w:t>
      </w:r>
    </w:p>
    <w:p>
      <w:pPr>
        <w:pStyle w:val="BodyText"/>
      </w:pPr>
      <w:r>
        <w:rPr>
          <w:bCs/>
          <w:b/>
        </w:rPr>
        <w:t xml:space="preserve">Tax Compliance:</w:t>
      </w:r>
      <w:r>
        <w:t xml:space="preserve"> </w:t>
      </w:r>
      <w:r>
        <w:t xml:space="preserve">This Invoice has been issued in compliance with the Argentine Federal Tax Agency (AFIP) electronic invoicing system (Sistema de Facturación Electrónica). The corresponding electronic receipt (Comprobante Fiscal Digital por Internet – CFDI) has been generated and is available upon request.</w:t>
      </w:r>
    </w:p>
    <w:p>
      <w:pPr>
        <w:pStyle w:val="BodyText"/>
      </w:pPr>
      <w:r>
        <w:rPr>
          <w:bCs/>
          <w:b/>
        </w:rPr>
        <w:t xml:space="preserve">Scope Disclaimer:</w:t>
      </w:r>
      <w:r>
        <w:t xml:space="preserve"> </w:t>
      </w:r>
      <w:r>
        <w:t xml:space="preserve">The services rendered by the Politician in this Invoice are strictly advisory and consultative in nature. They do not constitute legal representation, nor do they bind the Politician to any political party, electoral campaign, or governmental office in Buenos Aires or the Province of Buenos Aires. All opinions expressed during the engagement reflect the Politician's professional judgment and do not represent the position of any political organization in Argentina.</w:t>
      </w:r>
    </w:p>
    <w:bookmarkEnd w:id="23"/>
    <w:p>
      <w:pPr>
        <w:pStyle w:val="BodyText"/>
      </w:pPr>
      <w:r>
        <w:rPr>
          <w:bCs/>
          <w:b/>
        </w:rPr>
        <w:t xml:space="preserve">Dr. Alejandro R. Fernández</w:t>
      </w:r>
      <w:r>
        <w:br/>
      </w:r>
      <w:r>
        <w:t xml:space="preserve">Politician / Service Provider</w:t>
      </w:r>
      <w:r>
        <w:br/>
      </w:r>
      <w:r>
        <w:t xml:space="preserve">Buenos Aires, Argentina</w:t>
      </w:r>
    </w:p>
    <w:p>
      <w:pPr>
        <w:pStyle w:val="BodyText"/>
      </w:pPr>
      <w:r>
        <w:rPr>
          <w:bCs/>
          <w:b/>
        </w:rPr>
        <w:t xml:space="preserve">Ms. Carolina Méndez</w:t>
      </w:r>
      <w:r>
        <w:br/>
      </w:r>
      <w:r>
        <w:t xml:space="preserve">Authorized Representative – CLAD</w:t>
      </w:r>
      <w:r>
        <w:br/>
      </w:r>
      <w:r>
        <w:t xml:space="preserve">Buenos Aires, Argentina</w:t>
      </w:r>
    </w:p>
    <w:p>
      <w:pPr>
        <w:pStyle w:val="BodyText"/>
      </w:pPr>
      <w:r>
        <w:t xml:space="preserve">This Invoice was prepared and issued in Buenos Aires, Argentina, in accordance with the tax regulations of the Autonomous City of Buenos Aires (CABA) and the national fiscal framework of the Argentine Republic. The Politician named herein operates as an independent professional consultant and is registered with the AFIP under the applicable tax category for professional services. This document constitutes a valid fiscal instrument for accounting and tax deduction purposes in Argentina. For any disputes arising from this Invoice, the competent courts of the City of Buenos Aires, Argentina, shall have exclusive jurisdiction. Invoice generated on June 15, 2025. Document reference: INV-BA-2025-0487.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Buenos Aires, Argentina</dc:title>
  <dc:creator/>
  <dc:language>en</dc:language>
  <cp:keywords/>
  <dcterms:created xsi:type="dcterms:W3CDTF">2026-10-10T05:10:45Z</dcterms:created>
  <dcterms:modified xsi:type="dcterms:W3CDTF">2026-10-10T05:10:45Z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