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Brisbane,</w:t>
      </w:r>
      <w:r>
        <w:t xml:space="preserve"> </w:t>
      </w:r>
      <w:r>
        <w:t xml:space="preserve">Australia</w:t>
      </w:r>
    </w:p>
    <w:p>
      <w:pPr>
        <w:pStyle w:val="FirstParagraph"/>
      </w:pPr>
      <w:r>
        <w:t xml:space="preserve">Invoice</w:t>
      </w:r>
    </w:p>
    <w:p>
      <w:pPr>
        <w:pStyle w:val="BodyText"/>
      </w:pPr>
      <w:r>
        <w:t xml:space="preserve">Official Tax Invoice – Australian Business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INV-2025-BRN-0472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Status:</w:t>
      </w:r>
      <w:r>
        <w:t xml:space="preserve"> </w:t>
      </w:r>
      <w:r>
        <w:t xml:space="preserve">Pending</w:t>
      </w:r>
    </w:p>
    <w:p>
      <w:pPr>
        <w:pStyle w:val="BodyText"/>
      </w:pPr>
      <w:r>
        <w:rPr>
          <w:bCs/>
          <w:b/>
        </w:rPr>
        <w:t xml:space="preserve">ABN:</w:t>
      </w:r>
      <w:r>
        <w:t xml:space="preserve"> </w:t>
      </w:r>
      <w:r>
        <w:t xml:space="preserve">54 123 456 789</w:t>
      </w:r>
    </w:p>
    <w:bookmarkEnd w:id="20"/>
    <w:bookmarkStart w:id="21" w:name="from-service-provider"/>
    <w:p>
      <w:pPr>
        <w:pStyle w:val="Heading4"/>
      </w:pPr>
      <w:r>
        <w:t xml:space="preserve">From (Service Provider)</w:t>
      </w:r>
    </w:p>
    <w:p>
      <w:pPr>
        <w:pStyle w:val="FirstParagraph"/>
      </w:pPr>
      <w:r>
        <w:t xml:space="preserve">The Honourable Margaret E. Callahan</w:t>
      </w:r>
    </w:p>
    <w:p>
      <w:pPr>
        <w:pStyle w:val="BodyText"/>
      </w:pPr>
      <w:r>
        <w:t xml:space="preserve">Member for the Division of Brisbane Central</w:t>
      </w:r>
    </w:p>
    <w:p>
      <w:pPr>
        <w:pStyle w:val="BodyText"/>
      </w:pPr>
      <w:r>
        <w:t xml:space="preserve">Parliament of Australia</w:t>
      </w:r>
    </w:p>
    <w:p>
      <w:pPr>
        <w:pStyle w:val="BodyText"/>
      </w:pPr>
      <w:r>
        <w:t xml:space="preserve">Parliament House, Canberra, ACT 2600</w:t>
      </w:r>
    </w:p>
    <w:p>
      <w:pPr>
        <w:pStyle w:val="BodyText"/>
      </w:pPr>
      <w:r>
        <w:rPr>
          <w:bCs/>
          <w:b/>
        </w:rPr>
        <w:t xml:space="preserve">Local Office:</w:t>
      </w:r>
      <w:r>
        <w:t xml:space="preserve"> </w:t>
      </w:r>
      <w:r>
        <w:t xml:space="preserve">Level 4, 120 Creek Street</w:t>
      </w:r>
    </w:p>
    <w:p>
      <w:pPr>
        <w:pStyle w:val="BodyText"/>
      </w:pPr>
      <w:r>
        <w:t xml:space="preserve">Brisbane, Queensland 4000, Australia</w:t>
      </w:r>
    </w:p>
    <w:p>
      <w:pPr>
        <w:pStyle w:val="BodyText"/>
      </w:pPr>
      <w:r>
        <w:rPr>
          <w:bCs/>
          <w:b/>
        </w:rPr>
        <w:t xml:space="preserve">Email:</w:t>
      </w:r>
      <w:r>
        <w:t xml:space="preserve"> </w:t>
      </w:r>
      <w:r>
        <w:t xml:space="preserve">m.callahan@parliament.gov.au</w:t>
      </w:r>
    </w:p>
    <w:p>
      <w:pPr>
        <w:pStyle w:val="BodyText"/>
      </w:pPr>
      <w:r>
        <w:rPr>
          <w:bCs/>
          <w:b/>
        </w:rPr>
        <w:t xml:space="preserve">Phone:</w:t>
      </w:r>
      <w:r>
        <w:t xml:space="preserve"> </w:t>
      </w:r>
      <w:r>
        <w:t xml:space="preserve">+61 7 3221 4500</w:t>
      </w:r>
    </w:p>
    <w:bookmarkEnd w:id="21"/>
    <w:bookmarkStart w:id="22" w:name="to-bill-to"/>
    <w:p>
      <w:pPr>
        <w:pStyle w:val="Heading4"/>
      </w:pPr>
      <w:r>
        <w:t xml:space="preserve">To (Bill To)</w:t>
      </w:r>
    </w:p>
    <w:p>
      <w:pPr>
        <w:pStyle w:val="FirstParagraph"/>
      </w:pPr>
      <w:r>
        <w:t xml:space="preserve">Brisbane Community Development Trust</w:t>
      </w:r>
    </w:p>
    <w:p>
      <w:pPr>
        <w:pStyle w:val="BodyText"/>
      </w:pPr>
      <w:r>
        <w:t xml:space="preserve">Attn: Mr. David R. Whitfield, Executive Director</w:t>
      </w:r>
    </w:p>
    <w:p>
      <w:pPr>
        <w:pStyle w:val="BodyText"/>
      </w:pPr>
      <w:r>
        <w:t xml:space="preserve">Level 8, 340 Queen Street</w:t>
      </w:r>
    </w:p>
    <w:p>
      <w:pPr>
        <w:pStyle w:val="BodyText"/>
      </w:pPr>
      <w:r>
        <w:t xml:space="preserve">Brisbane, Queensland 4000, Australia</w:t>
      </w:r>
    </w:p>
    <w:p>
      <w:pPr>
        <w:pStyle w:val="BodyText"/>
      </w:pPr>
      <w:r>
        <w:rPr>
          <w:bCs/>
          <w:b/>
        </w:rPr>
        <w:t xml:space="preserve">ABN:</w:t>
      </w:r>
      <w:r>
        <w:t xml:space="preserve"> </w:t>
      </w:r>
      <w:r>
        <w:t xml:space="preserve">87 987 654 321</w:t>
      </w:r>
    </w:p>
    <w:p>
      <w:pPr>
        <w:pStyle w:val="BodyText"/>
      </w:pPr>
      <w:r>
        <w:rPr>
          <w:bCs/>
          <w:b/>
        </w:rPr>
        <w:t xml:space="preserve">Email:</w:t>
      </w:r>
      <w:r>
        <w:t xml:space="preserve"> </w:t>
      </w:r>
      <w:r>
        <w:t xml:space="preserve">d.whitfield@bcdt.org.au</w:t>
      </w:r>
    </w:p>
    <w:p>
      <w:pPr>
        <w:pStyle w:val="BodyText"/>
      </w:pPr>
      <w:r>
        <w:rPr>
          <w:bCs/>
          <w:b/>
        </w:rPr>
        <w:t xml:space="preserve">Phone:</w:t>
      </w:r>
      <w:r>
        <w:t xml:space="preserve"> </w:t>
      </w:r>
      <w:r>
        <w:t xml:space="preserve">+61 7 3100 2200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Official parliamentary address and policy briefing delivered at the Brisbane City Hall Civic Forum regarding regional infrastructure development in South East Queensland. The politician addressed 340 attendees and provided a 45-minute keynote on federal funding allocations for Brisbane transport corridors.</w:t>
            </w:r>
          </w:p>
        </w:tc>
        <w:tc>
          <w:tcPr/>
          <w:p>
            <w:pPr>
              <w:pStyle w:val="Compact"/>
              <w:jc w:val="left"/>
            </w:pPr>
            <w:r>
              <w:t xml:space="preserve">02 Jun 2025</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Preparation and submission of a formal government gazette notice on behalf of the Brisbane Community Development Trust, including legislative review, drafting of policy recommendations, and coordination with the Queensland Department of State Development, Infrastructure, Local Government and Planning.</w:t>
            </w:r>
          </w:p>
        </w:tc>
        <w:tc>
          <w:tcPr/>
          <w:p>
            <w:pPr>
              <w:pStyle w:val="Compact"/>
              <w:jc w:val="left"/>
            </w:pPr>
            <w:r>
              <w:t xml:space="preserve">05 Jun 2025</w:t>
            </w:r>
          </w:p>
        </w:tc>
        <w:tc>
          <w:tcPr/>
          <w:p>
            <w:pPr>
              <w:pStyle w:val="Compact"/>
              <w:jc w:val="left"/>
            </w:pPr>
            <w:r>
              <w:t xml:space="preserve">1 document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Facilitation of a bipartisan roundtable meeting at the Brisbane Convention &amp; Exhibition Centre involving local council representatives, state MPs, and federal politicians to discuss affordable housing initiatives in the Brisbane metropolitan area. The politician served as chair and mediator for the two-hour session.</w:t>
            </w:r>
          </w:p>
        </w:tc>
        <w:tc>
          <w:tcPr/>
          <w:p>
            <w:pPr>
              <w:pStyle w:val="Compact"/>
              <w:jc w:val="left"/>
            </w:pPr>
            <w:r>
              <w:t xml:space="preserve">08 Jun 2025</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Official correspondence and advocacy letter to the Minister for Housing, Urban Development and the Arts on behalf of the Brisbane Community Development Trust, requesting accelerated processing of the North Brisbane affordable housing precinct application. Includes follow-up telephone consultations (3 sessions) and written progress reports.</w:t>
            </w:r>
          </w:p>
        </w:tc>
        <w:tc>
          <w:tcPr/>
          <w:p>
            <w:pPr>
              <w:pStyle w:val="Compact"/>
              <w:jc w:val="left"/>
            </w:pPr>
            <w:r>
              <w:t xml:space="preserve">10 Jun 2025</w:t>
            </w:r>
          </w:p>
        </w:tc>
        <w:tc>
          <w:tcPr/>
          <w:p>
            <w:pPr>
              <w:pStyle w:val="Compact"/>
              <w:jc w:val="left"/>
            </w:pPr>
            <w:r>
              <w:t xml:space="preserve">1 package</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Provision of a certified copy of the politician's official parliamentary voting record and committee membership details for the Division of Brisbane Central, as required for the Brisbane Community Development Trust's annual transparency and governance reporting to the Australian Charities and Not-for-profits Commission (ACNC).</w:t>
            </w:r>
          </w:p>
        </w:tc>
        <w:tc>
          <w:tcPr/>
          <w:p>
            <w:pPr>
              <w:pStyle w:val="Compact"/>
              <w:jc w:val="left"/>
            </w:pPr>
            <w:r>
              <w:t xml:space="preserve">11 Jun 2025</w:t>
            </w:r>
          </w:p>
        </w:tc>
        <w:tc>
          <w:tcPr/>
          <w:p>
            <w:pPr>
              <w:pStyle w:val="Compact"/>
              <w:jc w:val="left"/>
            </w:pPr>
            <w:r>
              <w:t xml:space="preserve">1 certificate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Travel and accommodation expenses incurred by the politician's office for a site inspection of the proposed Brisbane River flood mitigation project in the Ipswich and Logan regions. Includes return airfare (Brisbane to Canberra), two nights accommodation at a government-approved hotel, and local transport. All expenses comply with the Australian Public Service Commission travel policy.</w:t>
            </w:r>
          </w:p>
        </w:tc>
        <w:tc>
          <w:tcPr/>
          <w:p>
            <w:pPr>
              <w:pStyle w:val="Compact"/>
              <w:jc w:val="left"/>
            </w:pPr>
            <w:r>
              <w:t xml:space="preserve">12 Jun 2025</w:t>
            </w:r>
          </w:p>
        </w:tc>
        <w:tc>
          <w:tcPr/>
          <w:p>
            <w:pPr>
              <w:pStyle w:val="Compact"/>
              <w:jc w:val="left"/>
            </w:pPr>
            <w:r>
              <w:t xml:space="preserve">1 trip</w:t>
            </w:r>
          </w:p>
        </w:tc>
        <w:tc>
          <w:tcPr/>
          <w:p>
            <w:pPr>
              <w:pStyle w:val="Compact"/>
              <w:jc w:val="left"/>
            </w:pPr>
            <w:r>
              <w:t xml:space="preserve">$1,150.00</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$13,700.00</w:t>
            </w:r>
          </w:p>
        </w:tc>
      </w:tr>
      <w:tr>
        <w:tc>
          <w:tcPr/>
          <w:p>
            <w:pPr>
              <w:pStyle w:val="Compact"/>
              <w:jc w:val="left"/>
            </w:pPr>
            <w:r>
              <w:t xml:space="preserve">GST (10%)</w:t>
            </w:r>
          </w:p>
        </w:tc>
        <w:tc>
          <w:tcPr/>
          <w:p>
            <w:pPr>
              <w:pStyle w:val="Compact"/>
              <w:jc w:val="right"/>
            </w:pPr>
            <w:r>
              <w:t xml:space="preserve">$1,370.00</w:t>
            </w:r>
          </w:p>
        </w:tc>
      </w:tr>
      <w:tr>
        <w:tc>
          <w:tcPr/>
          <w:p>
            <w:pPr>
              <w:pStyle w:val="Compact"/>
              <w:jc w:val="left"/>
            </w:pPr>
            <w:r>
              <w:t xml:space="preserve">Discount – Community Organisation</w:t>
            </w:r>
          </w:p>
        </w:tc>
        <w:tc>
          <w:tcPr/>
          <w:p>
            <w:pPr>
              <w:pStyle w:val="Compact"/>
              <w:jc w:val="right"/>
            </w:pPr>
            <w:r>
              <w:t xml:space="preserve">-$342.50</w:t>
            </w:r>
          </w:p>
        </w:tc>
      </w:tr>
      <w:tr>
        <w:tc>
          <w:tcPr/>
          <w:p>
            <w:pPr>
              <w:pStyle w:val="Compact"/>
              <w:jc w:val="left"/>
            </w:pPr>
            <w:r>
              <w:t xml:space="preserve">Grand Total (incl. GST)</w:t>
            </w:r>
          </w:p>
        </w:tc>
        <w:tc>
          <w:tcPr/>
          <w:p>
            <w:pPr>
              <w:pStyle w:val="Compact"/>
              <w:jc w:val="right"/>
            </w:pPr>
            <w:r>
              <w:t xml:space="preserve">$14,727.50</w:t>
            </w:r>
          </w:p>
        </w:tc>
      </w:tr>
    </w:tbl>
    <w:bookmarkStart w:id="23" w:name="payment-method"/>
    <w:p>
      <w:pPr>
        <w:pStyle w:val="Heading5"/>
      </w:pPr>
      <w:r>
        <w:t xml:space="preserve">Payment Method</w:t>
      </w:r>
    </w:p>
    <w:p>
      <w:pPr>
        <w:pStyle w:val="FirstParagraph"/>
      </w:pPr>
      <w:r>
        <w:rPr>
          <w:bCs/>
          <w:b/>
        </w:rPr>
        <w:t xml:space="preserve">Bank Transfer (EFT)</w:t>
      </w:r>
    </w:p>
    <w:p>
      <w:pPr>
        <w:pStyle w:val="BodyText"/>
      </w:pPr>
      <w:r>
        <w:t xml:space="preserve">Bank: Commonwealth Bank of Australia</w:t>
      </w:r>
    </w:p>
    <w:p>
      <w:pPr>
        <w:pStyle w:val="BodyText"/>
      </w:pPr>
      <w:r>
        <w:t xml:space="preserve">BSB: 063-000</w:t>
      </w:r>
    </w:p>
    <w:p>
      <w:pPr>
        <w:pStyle w:val="BodyText"/>
      </w:pPr>
      <w:r>
        <w:t xml:space="preserve">Account Number: 1234 5678</w:t>
      </w:r>
    </w:p>
    <w:p>
      <w:pPr>
        <w:pStyle w:val="BodyText"/>
      </w:pPr>
      <w:r>
        <w:t xml:space="preserve">Account Name: Hon. M.E. Callahan – Parliamentary Office</w:t>
      </w:r>
    </w:p>
    <w:p>
      <w:pPr>
        <w:pStyle w:val="BodyText"/>
      </w:pPr>
      <w:r>
        <w:t xml:space="preserve">Reference: INV-2025-BRN-0472</w:t>
      </w:r>
    </w:p>
    <w:bookmarkEnd w:id="23"/>
    <w:bookmarkStart w:id="24" w:name="payment-terms"/>
    <w:p>
      <w:pPr>
        <w:pStyle w:val="Heading5"/>
      </w:pPr>
      <w:r>
        <w:t xml:space="preserve">Payment Terms</w:t>
      </w:r>
    </w:p>
    <w:p>
      <w:pPr>
        <w:pStyle w:val="FirstParagraph"/>
      </w:pPr>
      <w:r>
        <w:t xml:space="preserve">Payment is due within 30 days of the invoice date.</w:t>
      </w:r>
    </w:p>
    <w:p>
      <w:pPr>
        <w:pStyle w:val="BodyText"/>
      </w:pPr>
      <w:r>
        <w:t xml:space="preserve">Late payments may incur interest at the rate prescribed under the Australian Consumer Law.</w:t>
      </w:r>
    </w:p>
    <w:p>
      <w:pPr>
        <w:pStyle w:val="BodyText"/>
      </w:pPr>
      <w:r>
        <w:t xml:space="preserve">Please remit payment to the account details above.</w:t>
      </w:r>
    </w:p>
    <w:p>
      <w:pPr>
        <w:pStyle w:val="BodyText"/>
      </w:pPr>
      <w:r>
        <w:t xml:space="preserve">Queries regarding this invoice should be directed to the office of the politician at the Brisbane local office address listed above.</w:t>
      </w:r>
    </w:p>
    <w:bookmarkEnd w:id="24"/>
    <w:bookmarkStart w:id="25" w:name="notes-and-terms"/>
    <w:p>
      <w:pPr>
        <w:pStyle w:val="Heading4"/>
      </w:pPr>
      <w:r>
        <w:t xml:space="preserve">Notes and Terms</w:t>
      </w:r>
    </w:p>
    <w:p>
      <w:pPr>
        <w:pStyle w:val="FirstParagraph"/>
      </w:pPr>
      <w:r>
        <w:t xml:space="preserve">This invoice has been issued in accordance with the Australian Taxation Office (ATO) requirements for tax invoices under the Goods and Services Tax (GST) Act 1999. The politician, as a registered entity for GST purposes, is required to issue this tax invoice for all taxable supplies exceeding the threshold.</w:t>
      </w:r>
    </w:p>
    <w:p>
      <w:pPr>
        <w:pStyle w:val="BodyText"/>
      </w:pPr>
      <w:r>
        <w:t xml:space="preserve">All services described in this invoice were rendered in the capacity of a sitting Member of the Australian Parliament representing the Division of Brisbane Central. The politician's engagement with the Brisbane Community Development Trust is conducted in full compliance with the Parliamentary Ethics Act 2001 and the Australian Public Service Values and Code of Conduct.</w:t>
      </w:r>
    </w:p>
    <w:p>
      <w:pPr>
        <w:pStyle w:val="BodyText"/>
      </w:pPr>
      <w:r>
        <w:t xml:space="preserve">The Brisbane Community Development Trust acknowledges that this invoice represents a legitimate transaction for services rendered in the public interest within the Brisbane metropolitan region, Queensland, Australia. All funds are to be applied solely toward the community development purposes outlined in the Trust's registered objectives with the ACNC.</w:t>
      </w:r>
    </w:p>
    <w:p>
      <w:pPr>
        <w:pStyle w:val="BodyText"/>
      </w:pPr>
      <w:r>
        <w:t xml:space="preserve">This invoice is valid for a period of 90 days from the date of issue. After this period, the politician's office reserves the right to reissue the invoice with updated pricing. The Brisbane Community Development Trust is requested to file this document in accordance with Australian record-keeping obligations under the Taxation Administration Act 1953.</w:t>
      </w:r>
    </w:p>
    <w:p>
      <w:pPr>
        <w:pStyle w:val="BodyText"/>
      </w:pPr>
      <w:r>
        <w:t xml:space="preserve">For any disputes or queries regarding the line items, quantities, or amounts stated in this invoice, the Brisbane Community Development Trust is encouraged to contact the politician's parliamentary office in Brisbane within 14 days of the invoice date. All correspondence should reference the invoice number INV-2025-BRN-0472.</w:t>
      </w:r>
    </w:p>
    <w:bookmarkEnd w:id="25"/>
    <w:p>
      <w:pPr>
        <w:pStyle w:val="BodyText"/>
      </w:pPr>
      <w:r>
        <w:rPr>
          <w:bCs/>
          <w:b/>
        </w:rPr>
        <w:t xml:space="preserve">Invoice</w:t>
      </w:r>
      <w:r>
        <w:t xml:space="preserve"> </w:t>
      </w:r>
      <w:r>
        <w:t xml:space="preserve">INV-2025-BRN-0472  |  Issued by the Office of the Honourable Margaret E. Callahan, MP  |  Brisbane, Queensland, Australia</w:t>
      </w:r>
    </w:p>
    <w:p>
      <w:pPr>
        <w:pStyle w:val="BodyText"/>
      </w:pPr>
      <w:r>
        <w:t xml:space="preserve">This document is an official tax invoice issued under Australian law. The politician's services are provided in the public interest for the benefit of the Brisbane community. All information contained herein is confidential and intended solely for the named recipient.</w:t>
      </w:r>
    </w:p>
    <w:p>
      <w:pPr>
        <w:pStyle w:val="BodyText"/>
      </w:pPr>
      <w:r>
        <w:t xml:space="preserve">© 2025 Parliamentary Office – Brisbane Division. All rights reserved. ABN 54 123 456 789.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Brisbane, Australia</dc:title>
  <dc:creator/>
  <dc:language>en</dc:language>
  <cp:keywords/>
  <dcterms:created xsi:type="dcterms:W3CDTF">2026-10-10T03:49:38Z</dcterms:created>
  <dcterms:modified xsi:type="dcterms:W3CDTF">2026-10-10T03:49:38Z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