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Hon.</w:t>
      </w:r>
      <w:r>
        <w:t xml:space="preserve"> </w:t>
      </w:r>
      <w:r>
        <w:t xml:space="preserve">Senator</w:t>
      </w:r>
      <w:r>
        <w:t xml:space="preserve"> </w:t>
      </w:r>
      <w:r>
        <w:t xml:space="preserve">Margaret</w:t>
      </w:r>
      <w:r>
        <w:t xml:space="preserve"> </w:t>
      </w:r>
      <w:r>
        <w:t xml:space="preserve">A.</w:t>
      </w:r>
      <w:r>
        <w:t xml:space="preserve"> </w:t>
      </w:r>
      <w:r>
        <w:t xml:space="preserve">Whitfield,</w:t>
      </w:r>
      <w:r>
        <w:t xml:space="preserve"> </w:t>
      </w:r>
      <w:r>
        <w:t xml:space="preserve">MP</w:t>
      </w:r>
      <w:r>
        <w:t xml:space="preserve"> </w:t>
      </w:r>
      <w:r>
        <w:t xml:space="preserve">-</w:t>
      </w:r>
      <w:r>
        <w:t xml:space="preserve"> </w:t>
      </w:r>
      <w:r>
        <w:t xml:space="preserve">Melbourne,</w:t>
      </w:r>
      <w:r>
        <w:t xml:space="preserve"> </w:t>
      </w:r>
      <w:r>
        <w:t xml:space="preserve">Australia</w:t>
      </w:r>
    </w:p>
    <w:bookmarkStart w:id="20" w:name="hon.-senator-margaret-a.-whitfield-mp"/>
    <w:p>
      <w:pPr>
        <w:pStyle w:val="Heading1"/>
      </w:pPr>
      <w:r>
        <w:t xml:space="preserve">Hon. Senator Margaret A. Whitfield, MP</w:t>
      </w:r>
    </w:p>
    <w:p>
      <w:pPr>
        <w:pStyle w:val="FirstParagraph"/>
      </w:pPr>
      <w:r>
        <w:t xml:space="preserve">Office of the Senator for Victoria</w:t>
      </w:r>
    </w:p>
    <w:p>
      <w:pPr>
        <w:pStyle w:val="BodyText"/>
      </w:pPr>
      <w:r>
        <w:t xml:space="preserve">Parliament House, 100 Macquarie Street</w:t>
      </w:r>
    </w:p>
    <w:p>
      <w:pPr>
        <w:pStyle w:val="BodyText"/>
      </w:pPr>
      <w:r>
        <w:t xml:space="preserve">Melbourne, Australia VIC 3000</w:t>
      </w:r>
    </w:p>
    <w:p>
      <w:pPr>
        <w:pStyle w:val="BodyText"/>
      </w:pPr>
      <w:r>
        <w:t xml:space="preserve">ABN: 48 217 634 902</w:t>
      </w:r>
    </w:p>
    <w:p>
      <w:pPr>
        <w:pStyle w:val="BodyText"/>
      </w:pPr>
      <w:r>
        <w:t xml:space="preserve">Tel: +61 3 9230 1100 | Email: office@senatorwhitfield.gov.au</w:t>
      </w:r>
    </w:p>
    <w:bookmarkEnd w:id="20"/>
    <w:bookmarkStart w:id="21" w:name="invoice"/>
    <w:p>
      <w:pPr>
        <w:pStyle w:val="Heading2"/>
      </w:pPr>
      <w:r>
        <w:t xml:space="preserve">INVOICE</w:t>
      </w:r>
    </w:p>
    <w:p>
      <w:pPr>
        <w:pStyle w:val="FirstParagraph"/>
      </w:pPr>
      <w:r>
        <w:t xml:space="preserve">Official Government Document</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INV-2025-MEL-04871</w:t>
            </w:r>
          </w:p>
        </w:tc>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w:t>
            </w:r>
          </w:p>
        </w:tc>
        <w:tc>
          <w:tcPr/>
          <w:p>
            <w:pPr>
              <w:pStyle w:val="Compact"/>
              <w:jc w:val="left"/>
            </w:pPr>
            <w:r>
              <w:t xml:space="preserve">Payment Terms:</w:t>
            </w:r>
          </w:p>
        </w:tc>
        <w:tc>
          <w:tcPr/>
          <w:p>
            <w:pPr>
              <w:pStyle w:val="Compact"/>
              <w:jc w:val="left"/>
            </w:pPr>
            <w:r>
              <w:t xml:space="preserve">Net 30 via EFT</w:t>
            </w:r>
          </w:p>
        </w:tc>
      </w:tr>
      <w:tr>
        <w:tc>
          <w:tcPr/>
          <w:p>
            <w:pPr>
              <w:pStyle w:val="Compact"/>
              <w:jc w:val="left"/>
            </w:pPr>
            <w:r>
              <w:t xml:space="preserve">Reference:</w:t>
            </w:r>
          </w:p>
        </w:tc>
        <w:tc>
          <w:tcPr/>
          <w:p>
            <w:pPr>
              <w:pStyle w:val="Compact"/>
              <w:jc w:val="left"/>
            </w:pPr>
            <w:r>
              <w:t xml:space="preserve">PO-2025-VIC-3392</w:t>
            </w:r>
          </w:p>
        </w:tc>
        <w:tc>
          <w:tcPr/>
          <w:p>
            <w:pPr>
              <w:pStyle w:val="Compact"/>
              <w:jc w:val="left"/>
            </w:pPr>
            <w:r>
              <w:t xml:space="preserve">Service Period:</w:t>
            </w:r>
          </w:p>
        </w:tc>
        <w:tc>
          <w:tcPr/>
          <w:p>
            <w:pPr>
              <w:pStyle w:val="Compact"/>
              <w:jc w:val="left"/>
            </w:pPr>
            <w:r>
              <w:t xml:space="preserve">1 March 2025 – 31 May 2025</w:t>
            </w:r>
          </w:p>
        </w:tc>
      </w:tr>
    </w:tbl>
    <w:bookmarkStart w:id="22" w:name="billed-to"/>
    <w:p>
      <w:pPr>
        <w:pStyle w:val="Heading3"/>
      </w:pPr>
      <w:r>
        <w:t xml:space="preserve">Billed To</w:t>
      </w:r>
    </w:p>
    <w:p>
      <w:pPr>
        <w:pStyle w:val="FirstParagraph"/>
      </w:pPr>
      <w:r>
        <w:rPr>
          <w:bCs/>
          <w:b/>
        </w:rPr>
        <w:t xml:space="preserve">City of Melbourne</w:t>
      </w:r>
    </w:p>
    <w:p>
      <w:pPr>
        <w:pStyle w:val="BodyText"/>
      </w:pPr>
      <w:r>
        <w:t xml:space="preserve">Department of Civic Engagement &amp; Public Affairs</w:t>
      </w:r>
    </w:p>
    <w:p>
      <w:pPr>
        <w:pStyle w:val="BodyText"/>
      </w:pPr>
      <w:r>
        <w:t xml:space="preserve">Level 12, 135 Collins Street</w:t>
      </w:r>
    </w:p>
    <w:p>
      <w:pPr>
        <w:pStyle w:val="BodyText"/>
      </w:pPr>
      <w:r>
        <w:t xml:space="preserve">Melbourne, Australia VIC 3000</w:t>
      </w:r>
    </w:p>
    <w:p>
      <w:pPr>
        <w:pStyle w:val="BodyText"/>
      </w:pPr>
      <w:r>
        <w:t xml:space="preserve">ABN: 51 008 313 894</w:t>
      </w:r>
    </w:p>
    <w:p>
      <w:pPr>
        <w:pStyle w:val="BodyText"/>
      </w:pPr>
      <w:r>
        <w:t xml:space="preserve">Attn: Director of Intergovernmental Relations</w:t>
      </w:r>
    </w:p>
    <w:bookmarkEnd w:id="22"/>
    <w:bookmarkStart w:id="23" w:name="issued-by"/>
    <w:p>
      <w:pPr>
        <w:pStyle w:val="Heading3"/>
      </w:pPr>
      <w:r>
        <w:t xml:space="preserve">Issued By</w:t>
      </w:r>
    </w:p>
    <w:p>
      <w:pPr>
        <w:pStyle w:val="FirstParagraph"/>
      </w:pPr>
      <w:r>
        <w:t xml:space="preserve">Office of Senator M.A. Whitfield</w:t>
      </w:r>
    </w:p>
    <w:p>
      <w:pPr>
        <w:pStyle w:val="BodyText"/>
      </w:pPr>
      <w:r>
        <w:t xml:space="preserve">Policy &amp; Public Consultation Division</w:t>
      </w:r>
    </w:p>
    <w:p>
      <w:pPr>
        <w:pStyle w:val="BodyText"/>
      </w:pPr>
      <w:r>
        <w:t xml:space="preserve">Parliament House, Melbourne</w:t>
      </w:r>
    </w:p>
    <w:p>
      <w:pPr>
        <w:pStyle w:val="BodyText"/>
      </w:pPr>
      <w:r>
        <w:t xml:space="preserve">Australia, Victoria 3000</w:t>
      </w:r>
    </w:p>
    <w:p>
      <w:pPr>
        <w:pStyle w:val="BodyText"/>
      </w:pPr>
      <w:r>
        <w:t xml:space="preserve">Authorised Signatory: J. R. Callahan, Chief of Staff</w:t>
      </w:r>
    </w:p>
    <w:bookmarkEnd w:id="23"/>
    <w:bookmarkStart w:id="25"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Policy consultation and advisory services regarding the Melbourne Metropolitan Urban Renewal Act 2025. The Politician provided expert legislative guidance, drafted amendments, and conducted three (3) closed-door briefings with the City of Melbourne planning committee on zoning reforms for the Docklands precinct.</w:t>
            </w:r>
          </w:p>
        </w:tc>
        <w:tc>
          <w:tcPr/>
          <w:p>
            <w:pPr>
              <w:pStyle w:val="Compact"/>
              <w:jc w:val="left"/>
            </w:pPr>
            <w:r>
              <w:t xml:space="preserve">05 Mar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Public address and keynote speech at the Melbourne Civic Forum 2025, held at the Royal Exhibition Building. The Politician delivered a 45-minute address on federal-state cooperation in infrastructure funding, followed by a 30-minute Q&amp;A session with municipal leaders from across Australia Melbourne and the broader Victorian region.</w:t>
            </w:r>
          </w:p>
        </w:tc>
        <w:tc>
          <w:tcPr/>
          <w:p>
            <w:pPr>
              <w:pStyle w:val="Compact"/>
              <w:jc w:val="left"/>
            </w:pPr>
            <w:r>
              <w:t xml:space="preserve">18 Mar 2025</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Community engagement and constituent liaison services. The Politician's office coordinated and facilitated four (4) public town hall meetings across Melbourne suburbs including Port Phillip, Yarra, and Bayside. Each session included pre-event media coordination, post-event summary reports, and direct constituent feedback compilation for the City Council.</w:t>
            </w:r>
          </w:p>
        </w:tc>
        <w:tc>
          <w:tcPr/>
          <w:p>
            <w:pPr>
              <w:pStyle w:val="Compact"/>
              <w:jc w:val="left"/>
            </w:pPr>
            <w:r>
              <w:t xml:space="preserve">22 Mar – 10 Apr 2025</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Legislative drafting and legal advisory support for the Melbourne Water Sustainability and Flood Resilience Bill. The Politician, in her capacity as Chair of the Senate Committee on Environment and Infrastructure, provided written legal opinions, conducted impact assessments, and liaised with the Victorian Department of Water on behalf of the City of Melbourne.</w:t>
            </w:r>
          </w:p>
        </w:tc>
        <w:tc>
          <w:tcPr/>
          <w:p>
            <w:pPr>
              <w:pStyle w:val="Compact"/>
              <w:jc w:val="left"/>
            </w:pPr>
            <w:r>
              <w:t xml:space="preserve">01 Apr – 15 May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Media relations and public communications management. The Politician's communications team prepared and distributed press releases, managed media inquiries, and coordinated a joint public information campaign with the City of Melbourne regarding the new public transport corridor initiative in Australia Melbourne.</w:t>
            </w:r>
          </w:p>
        </w:tc>
        <w:tc>
          <w:tcPr/>
          <w:p>
            <w:pPr>
              <w:pStyle w:val="Compact"/>
              <w:jc w:val="left"/>
            </w:pPr>
            <w:r>
              <w:t xml:space="preserve">01 Apr – 30 May 2025</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Inter-governmental negotiation and treaty facilitation. The Politician served as the primary federal representative in bilateral negotiations between the Commonwealth Government and the City of Melbourne regarding the allocation of $2.3 billion in infrastructure grants. This included five (5) formal negotiation sessions, preparation of term sheets, and finalisation of the Memorandum of Understanding.</w:t>
            </w:r>
          </w:p>
        </w:tc>
        <w:tc>
          <w:tcPr/>
          <w:p>
            <w:pPr>
              <w:pStyle w:val="Compact"/>
              <w:jc w:val="left"/>
            </w:pPr>
            <w:r>
              <w:t xml:space="preserve">10 Apr – 28 May 2025</w:t>
            </w:r>
          </w:p>
        </w:tc>
        <w:tc>
          <w:tcPr/>
          <w:p>
            <w:pPr>
              <w:pStyle w:val="Compact"/>
              <w:jc w:val="left"/>
            </w:pPr>
            <w:r>
              <w:t xml:space="preserve">1</w:t>
            </w:r>
          </w:p>
        </w:tc>
        <w:tc>
          <w:tcPr/>
          <w:p>
            <w:pPr>
              <w:pStyle w:val="Compact"/>
              <w:jc w:val="left"/>
            </w:pPr>
            <w:r>
              <w:t xml:space="preserve">$15,350.00</w:t>
            </w:r>
          </w:p>
        </w:tc>
        <w:tc>
          <w:tcPr/>
          <w:p>
            <w:pPr>
              <w:pStyle w:val="Compact"/>
              <w:jc w:val="left"/>
            </w:pPr>
            <w:r>
              <w:t xml:space="preserve">$15,350.00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$81,000.00</w:t>
            </w:r>
          </w:p>
        </w:tc>
      </w:tr>
      <w:tr>
        <w:tc>
          <w:tcPr/>
          <w:p>
            <w:pPr>
              <w:pStyle w:val="Compact"/>
              <w:jc w:val="left"/>
            </w:pPr>
            <w:r>
              <w:t xml:space="preserve">GST @ 10% (AUD)</w:t>
            </w:r>
          </w:p>
        </w:tc>
        <w:tc>
          <w:tcPr/>
          <w:p>
            <w:pPr>
              <w:pStyle w:val="Compact"/>
              <w:jc w:val="left"/>
            </w:pPr>
            <w:r>
              <w:t xml:space="preserve">$8,100.00</w:t>
            </w:r>
          </w:p>
        </w:tc>
      </w:tr>
      <w:tr>
        <w:tc>
          <w:tcPr/>
          <w:p>
            <w:pPr>
              <w:pStyle w:val="Compact"/>
              <w:jc w:val="left"/>
            </w:pPr>
            <w:r>
              <w:t xml:space="preserve">Applicable Surcharges</w:t>
            </w:r>
          </w:p>
        </w:tc>
        <w:tc>
          <w:tcPr/>
          <w:p>
            <w:pPr>
              <w:pStyle w:val="Compact"/>
              <w:jc w:val="left"/>
            </w:pPr>
            <w:r>
              <w:t xml:space="preserve">$0.00</w:t>
            </w:r>
          </w:p>
        </w:tc>
      </w:tr>
      <w:tr>
        <w:tc>
          <w:tcPr/>
          <w:p>
            <w:pPr>
              <w:pStyle w:val="Compact"/>
              <w:jc w:val="left"/>
            </w:pPr>
            <w:r>
              <w:t xml:space="preserve">TOTAL AMOUNT DUE (AUD)</w:t>
            </w:r>
          </w:p>
        </w:tc>
        <w:tc>
          <w:tcPr/>
          <w:p>
            <w:pPr>
              <w:pStyle w:val="Compact"/>
              <w:jc w:val="left"/>
            </w:pPr>
            <w:r>
              <w:t xml:space="preserve">$89,100.00</w:t>
            </w:r>
          </w:p>
        </w:tc>
      </w:tr>
    </w:tbl>
    <w:bookmarkStart w:id="24" w:name="payment-instructions-important-notes"/>
    <w:p>
      <w:pPr>
        <w:pStyle w:val="Heading3"/>
      </w:pPr>
      <w:r>
        <w:t xml:space="preserve">Payment Instructions &amp; Important Notes</w:t>
      </w:r>
    </w:p>
    <w:p>
      <w:pPr>
        <w:pStyle w:val="FirstParagraph"/>
      </w:pPr>
      <w:r>
        <w:rPr>
          <w:bCs/>
          <w:b/>
        </w:rPr>
        <w:t xml:space="preserve">Bank Details:</w:t>
      </w:r>
      <w:r>
        <w:t xml:space="preserve"> </w:t>
      </w:r>
      <w:r>
        <w:t xml:space="preserve">Commonwealth Bank of Australia | BSB: 063-123 | Account: 1234 5678 | Account Name: Office of Senator M.A. Whitfield – Trust Account</w:t>
      </w:r>
    </w:p>
    <w:p>
      <w:pPr>
        <w:pStyle w:val="BodyText"/>
      </w:pPr>
      <w:r>
        <w:rPr>
          <w:bCs/>
          <w:b/>
        </w:rPr>
        <w:t xml:space="preserve">Payment Method:</w:t>
      </w:r>
      <w:r>
        <w:t xml:space="preserve"> </w:t>
      </w:r>
      <w:r>
        <w:t xml:space="preserve">Electronic Funds Transfer (EFT) only. Please reference Invoice Number INV-2025-MEL-04871 in the payment description.</w:t>
      </w:r>
    </w:p>
    <w:p>
      <w:pPr>
        <w:pStyle w:val="BodyText"/>
      </w:pPr>
      <w:r>
        <w:rPr>
          <w:bCs/>
          <w:b/>
        </w:rPr>
        <w:t xml:space="preserve">Terms:</w:t>
      </w:r>
      <w:r>
        <w:t xml:space="preserve"> </w:t>
      </w:r>
      <w:r>
        <w:t xml:space="preserve">This Invoice is payable within thirty (30) calendar days of the issue date. Late payments may attract interest at the rate prescribed under the Australian Consumer Law and applicable Victorian state regulations. All amounts are quoted in Australian Dollars (AUD) and are inclusive of Goods and Services Tax (GST) as registered under the Australian Taxation Office.</w:t>
      </w:r>
    </w:p>
    <w:p>
      <w:pPr>
        <w:pStyle w:val="BodyText"/>
      </w:pPr>
      <w:r>
        <w:rPr>
          <w:bCs/>
          <w:b/>
        </w:rPr>
        <w:t xml:space="preserve">Compliance:</w:t>
      </w:r>
      <w:r>
        <w:t xml:space="preserve"> </w:t>
      </w:r>
      <w:r>
        <w:t xml:space="preserve">This Invoice has been prepared in accordance with the Australian Government's Financial Management Act 1999 and the City of Melbourne's Procurement Policy 2024-2028. All services rendered by the Politician and her authorised staff were conducted within the ethical guidelines set forth by the Australian Parliamentary Standards Office.</w:t>
      </w:r>
    </w:p>
    <w:p>
      <w:pPr>
        <w:pStyle w:val="BodyText"/>
      </w:pPr>
      <w:r>
        <w:rPr>
          <w:bCs/>
          <w:b/>
        </w:rPr>
        <w:t xml:space="preserve">Disputes:</w:t>
      </w:r>
      <w:r>
        <w:t xml:space="preserve"> </w:t>
      </w:r>
      <w:r>
        <w:t xml:space="preserve">Any disputes regarding this Invoice must be submitted in writing to the Office of Senator Whitfield within fourteen (14) days of receipt. Unresolved disputes will be referred to the Victorian Civil and Administrative Tribunal (VCAT) in Melbourne, Australia, in accordance with the governing law of the State of Victoria.</w:t>
      </w:r>
    </w:p>
    <w:bookmarkEnd w:id="24"/>
    <w:p>
      <w:pPr>
        <w:pStyle w:val="BodyText"/>
      </w:pPr>
      <w:r>
        <w:t xml:space="preserve">OFFICIAL INVOICE – PARLIAMENTARY OFFICE</w:t>
      </w:r>
    </w:p>
    <w:p>
      <w:pPr>
        <w:pStyle w:val="BodyText"/>
      </w:pPr>
      <w:r>
        <w:t xml:space="preserve">This Invoice was generated by the Office of Hon. Senator Margaret A. Whitfield, MP, Melbourne, Australia.</w:t>
      </w:r>
    </w:p>
    <w:p>
      <w:pPr>
        <w:pStyle w:val="BodyText"/>
      </w:pPr>
      <w:r>
        <w:t xml:space="preserve">Document Reference: INV-2025-MEL-04871 | Generated: 14 June 2025 | Page 1 of 1</w:t>
      </w:r>
    </w:p>
    <w:p>
      <w:pPr>
        <w:pStyle w:val="BodyText"/>
      </w:pPr>
      <w:r>
        <w:t xml:space="preserve">© 2025 Office of Senator M.A. Whitfield. All rights reserved. This document is the property of the Commonwealth of Australia and the City of Melbourne.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Hon. Senator Margaret A. Whitfield, MP - Melbourne, Australia</dc:title>
  <dc:creator/>
  <dc:language>en</dc:language>
  <cp:keywords/>
  <dcterms:created xsi:type="dcterms:W3CDTF">2026-10-10T01:57:10Z</dcterms:created>
  <dcterms:modified xsi:type="dcterms:W3CDTF">2026-10-10T01:57:10Z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