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Political</w:t>
      </w:r>
      <w:r>
        <w:t xml:space="preserve"> </w:t>
      </w:r>
      <w:r>
        <w:t xml:space="preserve">Consulting</w:t>
      </w:r>
      <w:r>
        <w:t xml:space="preserve"> </w:t>
      </w:r>
      <w:r>
        <w:t xml:space="preserve">Services</w:t>
      </w:r>
      <w:r>
        <w:t xml:space="preserve"> </w:t>
      </w:r>
      <w:r>
        <w:t xml:space="preserve">-</w:t>
      </w:r>
      <w:r>
        <w:t xml:space="preserve"> </w:t>
      </w:r>
      <w:r>
        <w:t xml:space="preserve">Brussels,</w:t>
      </w:r>
      <w:r>
        <w:t xml:space="preserve"> </w:t>
      </w:r>
      <w:r>
        <w:t xml:space="preserve">Belgium</w:t>
      </w:r>
    </w:p>
    <w:bookmarkStart w:id="20" w:name="brussels-political-strategy-advisory-bv"/>
    <w:p>
      <w:pPr>
        <w:pStyle w:val="Heading1"/>
      </w:pPr>
      <w:r>
        <w:t xml:space="preserve">Brussels Political Strategy &amp; Advisory BV</w:t>
      </w:r>
    </w:p>
    <w:p>
      <w:pPr>
        <w:pStyle w:val="FirstParagraph"/>
      </w:pPr>
      <w:r>
        <w:t xml:space="preserve">Rue de la Loi / Wetstraat 142, 1000 Brussels, Belgium</w:t>
      </w:r>
    </w:p>
    <w:p>
      <w:pPr>
        <w:pStyle w:val="BodyText"/>
      </w:pPr>
      <w:r>
        <w:t xml:space="preserve">VAT No.: BE 0765.432.109</w:t>
      </w:r>
    </w:p>
    <w:p>
      <w:pPr>
        <w:pStyle w:val="BodyText"/>
      </w:pPr>
      <w:r>
        <w:t xml:space="preserve">IBAN: BE68 5390 0754 7034</w:t>
      </w:r>
    </w:p>
    <w:p>
      <w:pPr>
        <w:pStyle w:val="BodyText"/>
      </w:pPr>
      <w:r>
        <w:t xml:space="preserve">Phone: +32 2 555 0142 | Email: billing@bpsa.be</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BPSA-2025-0047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Reference:</w:t>
      </w:r>
      <w:r>
        <w:t xml:space="preserve"> </w:t>
      </w:r>
      <w:r>
        <w:t xml:space="preserve">POL-BRU-2025-Q2</w:t>
      </w:r>
    </w:p>
    <w:bookmarkEnd w:id="21"/>
    <w:bookmarkStart w:id="22" w:name="from-service-provider"/>
    <w:p>
      <w:pPr>
        <w:pStyle w:val="Heading3"/>
      </w:pPr>
      <w:r>
        <w:t xml:space="preserve">From (Service Provider)</w:t>
      </w:r>
    </w:p>
    <w:p>
      <w:pPr>
        <w:pStyle w:val="FirstParagraph"/>
      </w:pPr>
      <w:r>
        <w:rPr>
          <w:bCs/>
          <w:b/>
        </w:rPr>
        <w:t xml:space="preserve">Brussels Political Strategy &amp; Advisory BV</w:t>
      </w:r>
    </w:p>
    <w:p>
      <w:pPr>
        <w:pStyle w:val="BodyText"/>
      </w:pPr>
      <w:r>
        <w:t xml:space="preserve">Rue de la Loi / Wetstraat 142</w:t>
      </w:r>
    </w:p>
    <w:p>
      <w:pPr>
        <w:pStyle w:val="BodyText"/>
      </w:pPr>
      <w:r>
        <w:t xml:space="preserve">1000 Brussels, Belgium</w:t>
      </w:r>
    </w:p>
    <w:p>
      <w:pPr>
        <w:pStyle w:val="BodyText"/>
      </w:pPr>
      <w:r>
        <w:t xml:space="preserve">VAT: BE 0765.432.109</w:t>
      </w:r>
    </w:p>
    <w:p>
      <w:pPr>
        <w:pStyle w:val="BodyText"/>
      </w:pPr>
      <w:r>
        <w:t xml:space="preserve">Enterprise No.: 0765.432.109</w:t>
      </w:r>
    </w:p>
    <w:bookmarkEnd w:id="22"/>
    <w:bookmarkStart w:id="23" w:name="bill-to-client"/>
    <w:p>
      <w:pPr>
        <w:pStyle w:val="Heading3"/>
      </w:pPr>
      <w:r>
        <w:t xml:space="preserve">Bill To (Client)</w:t>
      </w:r>
    </w:p>
    <w:p>
      <w:pPr>
        <w:pStyle w:val="FirstParagraph"/>
      </w:pPr>
      <w:r>
        <w:rPr>
          <w:bCs/>
          <w:b/>
        </w:rPr>
        <w:t xml:space="preserve">The Honourable Mr. Jean-Pierre Vandenberghe</w:t>
      </w:r>
    </w:p>
    <w:p>
      <w:pPr>
        <w:pStyle w:val="BodyText"/>
      </w:pPr>
      <w:r>
        <w:t xml:space="preserve">Member of the Brussels-Capital Region Parliament</w:t>
      </w:r>
    </w:p>
    <w:p>
      <w:pPr>
        <w:pStyle w:val="BodyText"/>
      </w:pPr>
      <w:r>
        <w:t xml:space="preserve">Parlement de la Région de Bruxelles-Capitale</w:t>
      </w:r>
    </w:p>
    <w:p>
      <w:pPr>
        <w:pStyle w:val="BodyText"/>
      </w:pPr>
      <w:r>
        <w:t xml:space="preserve">Place du Trône / Troonplaats 1</w:t>
      </w:r>
    </w:p>
    <w:p>
      <w:pPr>
        <w:pStyle w:val="BodyText"/>
      </w:pPr>
      <w:r>
        <w:t xml:space="preserve">1000 Brussels, Belgium</w:t>
      </w:r>
    </w:p>
    <w:p>
      <w:pPr>
        <w:pStyle w:val="BodyText"/>
      </w:pPr>
      <w:r>
        <w:t xml:space="preserve">VAT: BE 0789.123.456</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 Rendered</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Strategic policy advisory and legislative drafting support for the Politician's portfolio on urban mobility and sustainable transport within the Brussels-Capital Region. Includes preparation of three formal legislative proposals and two committee briefing memoranda.</w:t>
            </w:r>
          </w:p>
        </w:tc>
        <w:tc>
          <w:tcPr/>
          <w:p>
            <w:pPr>
              <w:pStyle w:val="Compact"/>
              <w:jc w:val="left"/>
            </w:pPr>
            <w:r>
              <w:t xml:space="preserve">Jan – Mar 2025</w:t>
            </w:r>
          </w:p>
        </w:tc>
        <w:tc>
          <w:tcPr/>
          <w:p>
            <w:pPr>
              <w:pStyle w:val="Compact"/>
              <w:jc w:val="left"/>
            </w:pPr>
            <w:r>
              <w:t xml:space="preserve">120</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Public communications and media relations management for the Politician. Encompasses drafting of press releases, coordination of two press conferences at the Brussels Parliament, preparation of social media content strategy, and crisis communication protocols for the legislative session.</w:t>
            </w:r>
          </w:p>
        </w:tc>
        <w:tc>
          <w:tcPr/>
          <w:p>
            <w:pPr>
              <w:pStyle w:val="Compact"/>
              <w:jc w:val="left"/>
            </w:pPr>
            <w:r>
              <w:t xml:space="preserve">Jan – Mar 2025</w:t>
            </w:r>
          </w:p>
        </w:tc>
        <w:tc>
          <w:tcPr/>
          <w:p>
            <w:pPr>
              <w:pStyle w:val="Compact"/>
              <w:jc w:val="left"/>
            </w:pPr>
            <w:r>
              <w:t xml:space="preserve">80</w:t>
            </w:r>
          </w:p>
        </w:tc>
        <w:tc>
          <w:tcPr/>
          <w:p>
            <w:pPr>
              <w:pStyle w:val="Compact"/>
              <w:jc w:val="left"/>
            </w:pPr>
            <w:r>
              <w:t xml:space="preserve">165.00</w:t>
            </w:r>
          </w:p>
        </w:tc>
        <w:tc>
          <w:tcPr/>
          <w:p>
            <w:pPr>
              <w:pStyle w:val="Compact"/>
              <w:jc w:val="left"/>
            </w:pPr>
            <w:r>
              <w:t xml:space="preserve">13,200.00</w:t>
            </w:r>
          </w:p>
        </w:tc>
      </w:tr>
      <w:tr>
        <w:tc>
          <w:tcPr/>
          <w:p>
            <w:pPr>
              <w:pStyle w:val="Compact"/>
              <w:jc w:val="left"/>
            </w:pPr>
            <w:r>
              <w:t xml:space="preserve">03</w:t>
            </w:r>
          </w:p>
        </w:tc>
        <w:tc>
          <w:tcPr/>
          <w:p>
            <w:pPr>
              <w:pStyle w:val="Compact"/>
              <w:jc w:val="left"/>
            </w:pPr>
            <w:r>
              <w:t xml:space="preserve">Stakeholder engagement and constituency liaison services. Facilitating meetings between the Politician and Brussels-based civil society organisations, business federations (UWE, VBO), and European Commission representatives. Includes preparation of negotiation dossiers and follow-up correspondence.</w:t>
            </w:r>
          </w:p>
        </w:tc>
        <w:tc>
          <w:tcPr/>
          <w:p>
            <w:pPr>
              <w:pStyle w:val="Compact"/>
              <w:jc w:val="left"/>
            </w:pPr>
            <w:r>
              <w:t xml:space="preserve">Jan – Mar 2025</w:t>
            </w:r>
          </w:p>
        </w:tc>
        <w:tc>
          <w:tcPr/>
          <w:p>
            <w:pPr>
              <w:pStyle w:val="Compact"/>
              <w:jc w:val="left"/>
            </w:pPr>
            <w:r>
              <w:t xml:space="preserve">60</w:t>
            </w:r>
          </w:p>
        </w:tc>
        <w:tc>
          <w:tcPr/>
          <w:p>
            <w:pPr>
              <w:pStyle w:val="Compact"/>
              <w:jc w:val="left"/>
            </w:pPr>
            <w:r>
              <w:t xml:space="preserve">175.00</w:t>
            </w:r>
          </w:p>
        </w:tc>
        <w:tc>
          <w:tcPr/>
          <w:p>
            <w:pPr>
              <w:pStyle w:val="Compact"/>
              <w:jc w:val="left"/>
            </w:pPr>
            <w:r>
              <w:t xml:space="preserve">10,500.00</w:t>
            </w:r>
          </w:p>
        </w:tc>
      </w:tr>
      <w:tr>
        <w:tc>
          <w:tcPr/>
          <w:p>
            <w:pPr>
              <w:pStyle w:val="Compact"/>
              <w:jc w:val="left"/>
            </w:pPr>
            <w:r>
              <w:t xml:space="preserve">04</w:t>
            </w:r>
          </w:p>
        </w:tc>
        <w:tc>
          <w:tcPr/>
          <w:p>
            <w:pPr>
              <w:pStyle w:val="Compact"/>
              <w:jc w:val="left"/>
            </w:pPr>
            <w:r>
              <w:t xml:space="preserve">Electoral strategy consulting and voter sentiment analysis for the upcoming Brussels-Capital Region elections. Includes commissioning of two independent opinion polls, demographic data analysis across all nineteen municipalities, and a comprehensive campaign positioning report.</w:t>
            </w:r>
          </w:p>
        </w:tc>
        <w:tc>
          <w:tcPr/>
          <w:p>
            <w:pPr>
              <w:pStyle w:val="Compact"/>
              <w:jc w:val="left"/>
            </w:pPr>
            <w:r>
              <w:t xml:space="preserve">Apr – May 2025</w:t>
            </w:r>
          </w:p>
        </w:tc>
        <w:tc>
          <w:tcPr/>
          <w:p>
            <w:pPr>
              <w:pStyle w:val="Compact"/>
              <w:jc w:val="left"/>
            </w:pPr>
            <w:r>
              <w:t xml:space="preserve">95</w:t>
            </w:r>
          </w:p>
        </w:tc>
        <w:tc>
          <w:tcPr/>
          <w:p>
            <w:pPr>
              <w:pStyle w:val="Compact"/>
              <w:jc w:val="left"/>
            </w:pPr>
            <w:r>
              <w:t xml:space="preserve">195.00</w:t>
            </w:r>
          </w:p>
        </w:tc>
        <w:tc>
          <w:tcPr/>
          <w:p>
            <w:pPr>
              <w:pStyle w:val="Compact"/>
              <w:jc w:val="left"/>
            </w:pPr>
            <w:r>
              <w:t xml:space="preserve">18,525.00</w:t>
            </w:r>
          </w:p>
        </w:tc>
      </w:tr>
      <w:tr>
        <w:tc>
          <w:tcPr/>
          <w:p>
            <w:pPr>
              <w:pStyle w:val="Compact"/>
              <w:jc w:val="left"/>
            </w:pPr>
            <w:r>
              <w:t xml:space="preserve">05</w:t>
            </w:r>
          </w:p>
        </w:tc>
        <w:tc>
          <w:tcPr/>
          <w:p>
            <w:pPr>
              <w:pStyle w:val="Compact"/>
              <w:jc w:val="left"/>
            </w:pPr>
            <w:r>
              <w:t xml:space="preserve">European affairs coordination. Assisting the Politician in aligning Brussels regional policy positions with EU legislative frameworks, including preparation for trilogue negotiations and coordination with the Belgian federal government's European affairs ministry.</w:t>
            </w:r>
          </w:p>
        </w:tc>
        <w:tc>
          <w:tcPr/>
          <w:p>
            <w:pPr>
              <w:pStyle w:val="Compact"/>
              <w:jc w:val="left"/>
            </w:pPr>
            <w:r>
              <w:t xml:space="preserve">Apr – May 2025</w:t>
            </w:r>
          </w:p>
        </w:tc>
        <w:tc>
          <w:tcPr/>
          <w:p>
            <w:pPr>
              <w:pStyle w:val="Compact"/>
              <w:jc w:val="left"/>
            </w:pPr>
            <w:r>
              <w:t xml:space="preserve">45</w:t>
            </w:r>
          </w:p>
        </w:tc>
        <w:tc>
          <w:tcPr/>
          <w:p>
            <w:pPr>
              <w:pStyle w:val="Compact"/>
              <w:jc w:val="left"/>
            </w:pPr>
            <w:r>
              <w:t xml:space="preserve">200.00</w:t>
            </w:r>
          </w:p>
        </w:tc>
        <w:tc>
          <w:tcPr/>
          <w:p>
            <w:pPr>
              <w:pStyle w:val="Compact"/>
              <w:jc w:val="left"/>
            </w:pPr>
            <w:r>
              <w:t xml:space="preserve">9,000.00</w:t>
            </w:r>
          </w:p>
        </w:tc>
      </w:tr>
      <w:tr>
        <w:tc>
          <w:tcPr/>
          <w:p>
            <w:pPr>
              <w:pStyle w:val="Compact"/>
              <w:jc w:val="left"/>
            </w:pPr>
            <w:r>
              <w:t xml:space="preserve">06</w:t>
            </w:r>
          </w:p>
        </w:tc>
        <w:tc>
          <w:tcPr/>
          <w:p>
            <w:pPr>
              <w:pStyle w:val="Compact"/>
              <w:jc w:val="left"/>
            </w:pPr>
            <w:r>
              <w:t xml:space="preserve">Administrative and parliamentary support. Management of the Politician's parliamentary agenda, scheduling of committee hearings, preparation of written questions to the Brussels-Capital Region Government, and coordination of inter-party coalition discussions.</w:t>
            </w:r>
          </w:p>
        </w:tc>
        <w:tc>
          <w:tcPr/>
          <w:p>
            <w:pPr>
              <w:pStyle w:val="Compact"/>
              <w:jc w:val="left"/>
            </w:pPr>
            <w:r>
              <w:t xml:space="preserve">Jan – May 2025</w:t>
            </w:r>
          </w:p>
        </w:tc>
        <w:tc>
          <w:tcPr/>
          <w:p>
            <w:pPr>
              <w:pStyle w:val="Compact"/>
              <w:jc w:val="left"/>
            </w:pPr>
            <w:r>
              <w:t xml:space="preserve">70</w:t>
            </w:r>
          </w:p>
        </w:tc>
        <w:tc>
          <w:tcPr/>
          <w:p>
            <w:pPr>
              <w:pStyle w:val="Compact"/>
              <w:jc w:val="left"/>
            </w:pPr>
            <w:r>
              <w:t xml:space="preserve">145.00</w:t>
            </w:r>
          </w:p>
        </w:tc>
        <w:tc>
          <w:tcPr/>
          <w:p>
            <w:pPr>
              <w:pStyle w:val="Compact"/>
              <w:jc w:val="left"/>
            </w:pPr>
            <w:r>
              <w:t xml:space="preserve">10,150.00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left"/>
            </w:pPr>
            <w:r>
              <w:t xml:space="preserve">83,575.00 EUR</w:t>
            </w:r>
          </w:p>
        </w:tc>
      </w:tr>
      <w:tr>
        <w:tc>
          <w:tcPr/>
          <w:p>
            <w:pPr>
              <w:pStyle w:val="Compact"/>
              <w:jc w:val="left"/>
            </w:pPr>
            <w:r>
              <w:t xml:space="preserve">VAT @ 21% (Belgian Standard Rate)</w:t>
            </w:r>
          </w:p>
        </w:tc>
        <w:tc>
          <w:tcPr/>
          <w:p>
            <w:pPr>
              <w:pStyle w:val="Compact"/>
              <w:jc w:val="left"/>
            </w:pPr>
            <w:r>
              <w:t xml:space="preserve">17,550.75 EUR</w:t>
            </w:r>
          </w:p>
        </w:tc>
      </w:tr>
      <w:tr>
        <w:tc>
          <w:tcPr/>
          <w:p>
            <w:pPr>
              <w:pStyle w:val="Compact"/>
              <w:jc w:val="left"/>
            </w:pPr>
            <w:r>
              <w:t xml:space="preserve">Total Amount Due</w:t>
            </w:r>
          </w:p>
        </w:tc>
        <w:tc>
          <w:tcPr/>
          <w:p>
            <w:pPr>
              <w:pStyle w:val="Compact"/>
              <w:jc w:val="left"/>
            </w:pPr>
            <w:r>
              <w:t xml:space="preserve">101,125.75 EUR</w:t>
            </w:r>
          </w:p>
        </w:tc>
      </w:tr>
    </w:tbl>
    <w:bookmarkStart w:id="24" w:name="payment-terms-important-notes"/>
    <w:p>
      <w:pPr>
        <w:pStyle w:val="Heading3"/>
      </w:pPr>
      <w:r>
        <w:t xml:space="preserve">Payment Terms &amp; Important Notes</w:t>
      </w:r>
    </w:p>
    <w:p>
      <w:pPr>
        <w:numPr>
          <w:ilvl w:val="0"/>
          <w:numId w:val="1001"/>
        </w:numPr>
        <w:pStyle w:val="Compact"/>
      </w:pPr>
      <w:r>
        <w:rPr>
          <w:bCs/>
          <w:b/>
        </w:rPr>
        <w:t xml:space="preserve">Payment Method:</w:t>
      </w:r>
      <w:r>
        <w:t xml:space="preserve"> </w:t>
      </w:r>
      <w:r>
        <w:t xml:space="preserve">Bank transfer to IBAN BE68 5390 0754 7034 (BIC: GEBABEBB). Please reference Invoice No. BPSA-2025-0047 in the transfer description.</w:t>
      </w:r>
    </w:p>
    <w:p>
      <w:pPr>
        <w:numPr>
          <w:ilvl w:val="0"/>
          <w:numId w:val="1001"/>
        </w:numPr>
        <w:pStyle w:val="Compact"/>
      </w:pPr>
      <w:r>
        <w:rPr>
          <w:bCs/>
          <w:b/>
        </w:rPr>
        <w:t xml:space="preserve">Payment Deadline:</w:t>
      </w:r>
      <w:r>
        <w:t xml:space="preserve"> </w:t>
      </w:r>
      <w:r>
        <w:t xml:space="preserve">Full payment is due within thirty (30) calendar days from the issue date, i.e., no later than 15 July 2025, in accordance with Belgian commercial law (Code de droit économique, Book 22).</w:t>
      </w:r>
    </w:p>
    <w:p>
      <w:pPr>
        <w:numPr>
          <w:ilvl w:val="0"/>
          <w:numId w:val="1001"/>
        </w:numPr>
        <w:pStyle w:val="Compact"/>
      </w:pPr>
      <w:r>
        <w:rPr>
          <w:bCs/>
          <w:b/>
        </w:rPr>
        <w:t xml:space="preserve">Late Payment:</w:t>
      </w:r>
      <w:r>
        <w:t xml:space="preserve"> </w:t>
      </w:r>
      <w:r>
        <w:t xml:space="preserve">In the event of late payment, statutory interest at the rate prescribed by the Belgian National Bank shall apply, in addition to a fixed indemnity of forty euros (€40.00) for recovery costs, as stipulated under the Belgian Late Payment Directive (Royal Decree of 29 March 2013).</w:t>
      </w:r>
    </w:p>
    <w:p>
      <w:pPr>
        <w:numPr>
          <w:ilvl w:val="0"/>
          <w:numId w:val="1001"/>
        </w:numPr>
        <w:pStyle w:val="Compact"/>
      </w:pPr>
      <w:r>
        <w:rPr>
          <w:bCs/>
          <w:b/>
        </w:rPr>
        <w:t xml:space="preserve">Compliance:</w:t>
      </w:r>
      <w:r>
        <w:t xml:space="preserve"> </w:t>
      </w:r>
      <w:r>
        <w:t xml:space="preserve">All services rendered under this invoice have been performed in full compliance with the Belgian Law of 12 January 1989 on the transparency of political financing, as well as the regulations governing the financial activities of members of the Brussels-Capital Region Parliament. The Politician's office has confirmed that these expenditures are properly declared in the annual financial transparency report submitted to the Bureau of the Parliament.</w:t>
      </w:r>
    </w:p>
    <w:p>
      <w:pPr>
        <w:numPr>
          <w:ilvl w:val="0"/>
          <w:numId w:val="1001"/>
        </w:numPr>
        <w:pStyle w:val="Compact"/>
      </w:pPr>
      <w:r>
        <w:rPr>
          <w:bCs/>
          <w:b/>
        </w:rPr>
        <w:t xml:space="preserve">Confidentiality:</w:t>
      </w:r>
      <w:r>
        <w:t xml:space="preserve"> </w:t>
      </w:r>
      <w:r>
        <w:t xml:space="preserve">All strategic materials, polling data, and internal communications prepared for the Politician are subject to a strict non-disclosure agreement. No portion of the advisory work product may be disclosed to third parties without written consent from both the Politician's office and Brussels Political Strategy &amp; Advisory BV.</w:t>
      </w:r>
    </w:p>
    <w:p>
      <w:pPr>
        <w:numPr>
          <w:ilvl w:val="0"/>
          <w:numId w:val="1001"/>
        </w:numPr>
        <w:pStyle w:val="Compact"/>
      </w:pPr>
      <w:r>
        <w:rPr>
          <w:bCs/>
          <w:b/>
        </w:rPr>
        <w:t xml:space="preserve">Dispute Resolution:</w:t>
      </w:r>
      <w:r>
        <w:t xml:space="preserve"> </w:t>
      </w:r>
      <w:r>
        <w:t xml:space="preserve">Any disputes arising from this invoice shall be resolved under the jurisdiction of the Commercial Court of Brussels, in accordance with Belgian civil and commercial law. The parties agree to attempt mediation before initiating formal legal proceedings.</w:t>
      </w:r>
    </w:p>
    <w:p>
      <w:pPr>
        <w:numPr>
          <w:ilvl w:val="0"/>
          <w:numId w:val="1001"/>
        </w:numPr>
        <w:pStyle w:val="Compact"/>
      </w:pPr>
      <w:r>
        <w:rPr>
          <w:bCs/>
          <w:b/>
        </w:rPr>
        <w:t xml:space="preserve">Document Retention:</w:t>
      </w:r>
      <w:r>
        <w:t xml:space="preserve"> </w:t>
      </w:r>
      <w:r>
        <w:t xml:space="preserve">In accordance with Belgian accounting regulations, this invoice and all supporting documentation must be retained for a minimum of ten (10) years by both parties.</w:t>
      </w:r>
    </w:p>
    <w:bookmarkEnd w:id="24"/>
    <w:p>
      <w:pPr>
        <w:pStyle w:val="FirstParagraph"/>
      </w:pPr>
      <w:r>
        <w:rPr>
          <w:bCs/>
          <w:b/>
        </w:rPr>
        <w:t xml:space="preserve">Brussels Political Strategy &amp; Advisory BV</w:t>
      </w:r>
      <w:r>
        <w:t xml:space="preserve"> </w:t>
      </w:r>
      <w:r>
        <w:t xml:space="preserve">— Registered at the Crossroads Bank for Enterprises (KBO/CBE) under number 0765.432.109</w:t>
      </w:r>
    </w:p>
    <w:p>
      <w:pPr>
        <w:pStyle w:val="BodyText"/>
      </w:pPr>
      <w:r>
        <w:t xml:space="preserve">Head Office: Rue de la Loi / Wetstraat 142, 1000 Brussels, Belgium | VAT: BE 0765.432.109</w:t>
      </w:r>
    </w:p>
    <w:p>
      <w:pPr>
        <w:pStyle w:val="BodyText"/>
      </w:pPr>
      <w:r>
        <w:t xml:space="preserve">This invoice has been issued electronically in compliance with the Belgian Electronic Invoicing Regulation (Royal Decree of 20 December 2022).</w:t>
      </w:r>
    </w:p>
    <w:p>
      <w:pPr>
        <w:pStyle w:val="BodyText"/>
      </w:pPr>
      <w:r>
        <w:t xml:space="preserve">Thank you for your business. We remain at the Politician's disposal for all future advisory engagements in Brussels and across the European Union.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Political Consulting Services - Brussels, Belgium</dc:title>
  <dc:creator/>
  <dc:language>en</dc:language>
  <cp:keywords/>
  <dcterms:created xsi:type="dcterms:W3CDTF">2026-10-10T01:57:50Z</dcterms:created>
  <dcterms:modified xsi:type="dcterms:W3CDTF">2026-10-10T01:57:50Z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