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invoice"/>
    <w:p>
      <w:pPr>
        <w:pStyle w:val="Heading1"/>
      </w:pPr>
      <w:r>
        <w:t xml:space="preserve">INVOICE</w:t>
      </w:r>
    </w:p>
    <w:p>
      <w:pPr>
        <w:pStyle w:val="FirstParagraph"/>
      </w:pPr>
      <w:r>
        <w:t xml:space="preserve">Political Advisory Services</w:t>
      </w:r>
    </w:p>
    <w:p>
      <w:pPr>
        <w:pStyle w:val="BodyText"/>
      </w:pPr>
      <w:r>
        <w:t xml:space="preserve">Strategic Consulting for Public Office Holders</w:t>
      </w:r>
    </w:p>
    <w:bookmarkEnd w:id="20"/>
    <w:p>
      <w:pPr>
        <w:pStyle w:val="BodyText"/>
      </w:pPr>
      <w:r>
        <w:rPr>
          <w:bCs/>
          <w:b/>
        </w:rPr>
        <w:t xml:space="preserve">Invoice Number:</w:t>
      </w:r>
      <w:r>
        <w:t xml:space="preserve"> </w:t>
      </w:r>
      <w:r>
        <w:t xml:space="preserve">INV-2025-CHL-04782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CLP (Chilean Peso)</w:t>
      </w:r>
    </w:p>
    <w:bookmarkStart w:id="21" w:name="issued-by-service-provider"/>
    <w:p>
      <w:pPr>
        <w:pStyle w:val="Heading3"/>
      </w:pPr>
      <w:r>
        <w:t xml:space="preserve">Issued By (Service Provider)</w:t>
      </w:r>
    </w:p>
    <w:p>
      <w:pPr>
        <w:pStyle w:val="FirstParagraph"/>
      </w:pPr>
      <w:r>
        <w:rPr>
          <w:bCs/>
          <w:b/>
        </w:rPr>
        <w:t xml:space="preserve">Andes Political Strategy Group SpA</w:t>
      </w:r>
    </w:p>
    <w:p>
      <w:pPr>
        <w:pStyle w:val="BodyText"/>
      </w:pPr>
      <w:r>
        <w:t xml:space="preserve">Av. Libertador Bernardo O'Higgins 1250, Piso 14</w:t>
      </w:r>
    </w:p>
    <w:p>
      <w:pPr>
        <w:pStyle w:val="BodyText"/>
      </w:pPr>
      <w:r>
        <w:t xml:space="preserve">Providencia, Santiago, Chile</w:t>
      </w:r>
    </w:p>
    <w:p>
      <w:pPr>
        <w:pStyle w:val="BodyText"/>
      </w:pPr>
      <w:r>
        <w:t xml:space="preserve">RUT: 76.543.210-K</w:t>
      </w:r>
    </w:p>
    <w:p>
      <w:pPr>
        <w:pStyle w:val="BodyText"/>
      </w:pPr>
      <w:r>
        <w:t xml:space="preserve">Phone: +56 2 2345 6789</w:t>
      </w:r>
    </w:p>
    <w:p>
      <w:pPr>
        <w:pStyle w:val="BodyText"/>
      </w:pPr>
      <w:r>
        <w:t xml:space="preserve">Email: billing@andespolitical.cl</w:t>
      </w:r>
    </w:p>
    <w:p>
      <w:pPr>
        <w:pStyle w:val="BodyText"/>
      </w:pPr>
      <w:r>
        <w:t xml:space="preserve">Website: www.andespolitical.cl</w:t>
      </w:r>
    </w:p>
    <w:bookmarkEnd w:id="21"/>
    <w:bookmarkStart w:id="22" w:name="issued-to-client-politician"/>
    <w:p>
      <w:pPr>
        <w:pStyle w:val="Heading3"/>
      </w:pPr>
      <w:r>
        <w:t xml:space="preserve">Issued To (Client / Politician)</w:t>
      </w:r>
    </w:p>
    <w:p>
      <w:pPr>
        <w:pStyle w:val="FirstParagraph"/>
      </w:pPr>
      <w:r>
        <w:rPr>
          <w:bCs/>
          <w:b/>
        </w:rPr>
        <w:t xml:space="preserve">Hon. Senador Ricardo Mendoza Valdivia</w:t>
      </w:r>
    </w:p>
    <w:p>
      <w:pPr>
        <w:pStyle w:val="BodyText"/>
      </w:pPr>
      <w:r>
        <w:t xml:space="preserve">Oficina del Senado de la República</w:t>
      </w:r>
    </w:p>
    <w:p>
      <w:pPr>
        <w:pStyle w:val="BodyText"/>
      </w:pPr>
      <w:r>
        <w:t xml:space="preserve">Palacio de La Moneda, Ala Sur, Piso 3</w:t>
      </w:r>
    </w:p>
    <w:p>
      <w:pPr>
        <w:pStyle w:val="BodyText"/>
      </w:pPr>
      <w:r>
        <w:t xml:space="preserve">Santiago, Chile</w:t>
      </w:r>
    </w:p>
    <w:p>
      <w:pPr>
        <w:pStyle w:val="BodyText"/>
      </w:pPr>
      <w:r>
        <w:t xml:space="preserve">RUT: 12.345.678-9</w:t>
      </w:r>
    </w:p>
    <w:p>
      <w:pPr>
        <w:pStyle w:val="BodyText"/>
      </w:pPr>
      <w:r>
        <w:t xml:space="preserve">Phone: +56 2 2696 1234</w:t>
      </w:r>
    </w:p>
    <w:p>
      <w:pPr>
        <w:pStyle w:val="BodyText"/>
      </w:pPr>
      <w:r>
        <w:t xml:space="preserve">Email: r.mendoza@senado.cl</w:t>
      </w:r>
    </w:p>
    <w:bookmarkEnd w:id="22"/>
    <w:bookmarkStart w:id="24" w:name="description-of-services-rendered"/>
    <w:p>
      <w:pPr>
        <w:pStyle w:val="Heading2"/>
      </w:pPr>
      <w:r>
        <w:t xml:space="preserve">Description of Services Rendered</w:t>
      </w:r>
    </w:p>
    <w:p>
      <w:pPr>
        <w:pStyle w:val="FirstParagraph"/>
      </w:pPr>
      <w:r>
        <w:t xml:space="preserve">The following Invoice documents the professional political advisory and strategic consulting services rendered to the above-named Politician during the period of March 1, 2025, through May 31, 2025. All services were conducted in Santiago, Chile, in accordance with the contractual agreement signed on February 20, 2025, and in full compliance with the regulations established by the Contraloría General de la República de Chile regarding the use of public funds and private political contributions.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(CLP/hr)</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Strategic policy advisory and legislative drafting support for the Politician's committee on social welfare reform, including research, analysis, and drafting of three (3) proposed bills for presentation in the Congreso Nacional located in Santiago.</w:t>
            </w:r>
          </w:p>
        </w:tc>
        <w:tc>
          <w:tcPr/>
          <w:p>
            <w:pPr>
              <w:pStyle w:val="Compact"/>
              <w:jc w:val="left"/>
            </w:pPr>
            <w:r>
              <w:t xml:space="preserve">Mar 2025</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Public communications strategy and media relations management for the Politician, encompassing press conference preparation, media training sessions, and coordination with national and regional press outlets across the Santiago Metropolitan Region.</w:t>
            </w:r>
          </w:p>
        </w:tc>
        <w:tc>
          <w:tcPr/>
          <w:p>
            <w:pPr>
              <w:pStyle w:val="Compact"/>
              <w:jc w:val="left"/>
            </w:pPr>
            <w:r>
              <w:t xml:space="preserve">Mar–Apr 2025</w:t>
            </w:r>
          </w:p>
        </w:tc>
        <w:tc>
          <w:tcPr/>
          <w:p>
            <w:pPr>
              <w:pStyle w:val="Compact"/>
              <w:jc w:val="left"/>
            </w:pPr>
            <w:r>
              <w:t xml:space="preserve">80</w:t>
            </w:r>
          </w:p>
        </w:tc>
        <w:tc>
          <w:tcPr/>
          <w:p>
            <w:pPr>
              <w:pStyle w:val="Compact"/>
              <w:jc w:val="left"/>
            </w:pPr>
            <w:r>
              <w:t xml:space="preserve">75,000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Constituency engagement planning and community outreach program design for the Politician's electoral district in Santiago, including focus group facilitation, town hall event coordination, and voter sentiment analysis across twelve (12) comunas.</w:t>
            </w:r>
          </w:p>
        </w:tc>
        <w:tc>
          <w:tcPr/>
          <w:p>
            <w:pPr>
              <w:pStyle w:val="Compact"/>
              <w:jc w:val="left"/>
            </w:pPr>
            <w:r>
              <w:t xml:space="preserve">Apr 2025</w:t>
            </w:r>
          </w:p>
        </w:tc>
        <w:tc>
          <w:tcPr/>
          <w:p>
            <w:pPr>
              <w:pStyle w:val="Compact"/>
              <w:jc w:val="left"/>
            </w:pPr>
            <w:r>
              <w:t xml:space="preserve">96</w:t>
            </w:r>
          </w:p>
        </w:tc>
        <w:tc>
          <w:tcPr/>
          <w:p>
            <w:pPr>
              <w:pStyle w:val="Compact"/>
              <w:jc w:val="left"/>
            </w:pPr>
            <w:r>
              <w:t xml:space="preserve">70,000</w:t>
            </w:r>
          </w:p>
        </w:tc>
        <w:tc>
          <w:tcPr/>
          <w:p>
            <w:pPr>
              <w:pStyle w:val="Compact"/>
              <w:jc w:val="left"/>
            </w:pPr>
            <w:r>
              <w:t xml:space="preserve">6,720,000</w:t>
            </w:r>
          </w:p>
        </w:tc>
      </w:tr>
      <w:tr>
        <w:tc>
          <w:tcPr/>
          <w:p>
            <w:pPr>
              <w:pStyle w:val="Compact"/>
              <w:jc w:val="left"/>
            </w:pPr>
            <w:r>
              <w:t xml:space="preserve">4</w:t>
            </w:r>
          </w:p>
        </w:tc>
        <w:tc>
          <w:tcPr/>
          <w:p>
            <w:pPr>
              <w:pStyle w:val="Compact"/>
              <w:jc w:val="left"/>
            </w:pPr>
            <w:r>
              <w:t xml:space="preserve">Inter-party negotiation preparation and diplomatic protocol advisory for the Politician's participation in bilateral meetings with foreign delegations at the Palacio de La Moneda, Santiago, Chile.</w:t>
            </w:r>
          </w:p>
        </w:tc>
        <w:tc>
          <w:tcPr/>
          <w:p>
            <w:pPr>
              <w:pStyle w:val="Compact"/>
              <w:jc w:val="left"/>
            </w:pPr>
            <w:r>
              <w:t xml:space="preserve">May 2025</w:t>
            </w:r>
          </w:p>
        </w:tc>
        <w:tc>
          <w:tcPr/>
          <w:p>
            <w:pPr>
              <w:pStyle w:val="Compact"/>
              <w:jc w:val="left"/>
            </w:pPr>
            <w:r>
              <w:t xml:space="preserve">48</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5</w:t>
            </w:r>
          </w:p>
        </w:tc>
        <w:tc>
          <w:tcPr/>
          <w:p>
            <w:pPr>
              <w:pStyle w:val="Compact"/>
              <w:jc w:val="left"/>
            </w:pPr>
            <w:r>
              <w:t xml:space="preserve">Comprehensive political risk assessment and crisis communication contingency planning for the Politician, including scenario modeling, stakeholder mapping, and development of a 45-page crisis response manual tailored to the Chilean political landscape.</w:t>
            </w:r>
          </w:p>
        </w:tc>
        <w:tc>
          <w:tcPr/>
          <w:p>
            <w:pPr>
              <w:pStyle w:val="Compact"/>
              <w:jc w:val="left"/>
            </w:pPr>
            <w:r>
              <w:t xml:space="preserve">May 2025</w:t>
            </w:r>
          </w:p>
        </w:tc>
        <w:tc>
          <w:tcPr/>
          <w:p>
            <w:pPr>
              <w:pStyle w:val="Compact"/>
              <w:jc w:val="left"/>
            </w:pPr>
            <w:r>
              <w:t xml:space="preserve">64</w:t>
            </w:r>
          </w:p>
        </w:tc>
        <w:tc>
          <w:tcPr/>
          <w:p>
            <w:pPr>
              <w:pStyle w:val="Compact"/>
              <w:jc w:val="left"/>
            </w:pPr>
            <w:r>
              <w:t xml:space="preserve">80,000</w:t>
            </w:r>
          </w:p>
        </w:tc>
        <w:tc>
          <w:tcPr/>
          <w:p>
            <w:pPr>
              <w:pStyle w:val="Compact"/>
              <w:jc w:val="left"/>
            </w:pPr>
            <w:r>
              <w:t xml:space="preserve">5,120,000</w:t>
            </w:r>
          </w:p>
        </w:tc>
      </w:tr>
      <w:tr>
        <w:tc>
          <w:tcPr/>
          <w:p>
            <w:pPr>
              <w:pStyle w:val="Compact"/>
              <w:jc w:val="left"/>
            </w:pPr>
            <w:r>
              <w:t xml:space="preserve">6</w:t>
            </w:r>
          </w:p>
        </w:tc>
        <w:tc>
          <w:tcPr/>
          <w:p>
            <w:pPr>
              <w:pStyle w:val="Compact"/>
              <w:jc w:val="left"/>
            </w:pPr>
            <w:r>
              <w:t xml:space="preserve">Administrative support and scheduling coordination for the Politician's official calendar in Santiago, including travel arrangements, meeting logistics, and document management for a period of three (3) months.</w:t>
            </w:r>
          </w:p>
        </w:tc>
        <w:tc>
          <w:tcPr/>
          <w:p>
            <w:pPr>
              <w:pStyle w:val="Compact"/>
              <w:jc w:val="left"/>
            </w:pPr>
            <w:r>
              <w:t xml:space="preserve">Mar–May 2025</w:t>
            </w:r>
          </w:p>
        </w:tc>
        <w:tc>
          <w:tcPr/>
          <w:p>
            <w:pPr>
              <w:pStyle w:val="Compact"/>
              <w:jc w:val="left"/>
            </w:pPr>
            <w:r>
              <w:t xml:space="preserve">150</w:t>
            </w:r>
          </w:p>
        </w:tc>
        <w:tc>
          <w:tcPr/>
          <w:p>
            <w:pPr>
              <w:pStyle w:val="Compact"/>
              <w:jc w:val="left"/>
            </w:pPr>
            <w:r>
              <w:t xml:space="preserve">45,000</w:t>
            </w:r>
          </w:p>
        </w:tc>
        <w:tc>
          <w:tcPr/>
          <w:p>
            <w:pPr>
              <w:pStyle w:val="Compact"/>
              <w:jc w:val="left"/>
            </w:pPr>
            <w:r>
              <w:t xml:space="preserve">6,750,000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 (CLP)</w:t>
            </w:r>
          </w:p>
        </w:tc>
      </w:tr>
      <w:tr>
        <w:tc>
          <w:tcPr/>
          <w:p>
            <w:pPr>
              <w:pStyle w:val="Compact"/>
              <w:jc w:val="left"/>
            </w:pPr>
            <w:r>
              <w:t xml:space="preserve">Subtotal</w:t>
            </w:r>
          </w:p>
        </w:tc>
        <w:tc>
          <w:tcPr/>
          <w:p>
            <w:pPr>
              <w:pStyle w:val="Compact"/>
              <w:jc w:val="right"/>
            </w:pPr>
            <w:r>
              <w:t xml:space="preserve">39,350,000</w:t>
            </w:r>
          </w:p>
        </w:tc>
      </w:tr>
      <w:tr>
        <w:tc>
          <w:tcPr/>
          <w:p>
            <w:pPr>
              <w:pStyle w:val="Compact"/>
              <w:jc w:val="left"/>
            </w:pPr>
            <w:r>
              <w:t xml:space="preserve">IVA (19% VAT - Chile)</w:t>
            </w:r>
          </w:p>
        </w:tc>
        <w:tc>
          <w:tcPr/>
          <w:p>
            <w:pPr>
              <w:pStyle w:val="Compact"/>
              <w:jc w:val="right"/>
            </w:pPr>
            <w:r>
              <w:t xml:space="preserve">7,476,500</w:t>
            </w:r>
          </w:p>
        </w:tc>
      </w:tr>
      <w:tr>
        <w:tc>
          <w:tcPr/>
          <w:p>
            <w:pPr>
              <w:pStyle w:val="Compact"/>
              <w:jc w:val="left"/>
            </w:pPr>
            <w:r>
              <w:t xml:space="preserve">Administrative Fee (2%)</w:t>
            </w:r>
          </w:p>
        </w:tc>
        <w:tc>
          <w:tcPr/>
          <w:p>
            <w:pPr>
              <w:pStyle w:val="Compact"/>
              <w:jc w:val="right"/>
            </w:pPr>
            <w:r>
              <w:t xml:space="preserve">787,000</w:t>
            </w:r>
          </w:p>
        </w:tc>
      </w:tr>
      <w:tr>
        <w:tc>
          <w:tcPr/>
          <w:p>
            <w:pPr>
              <w:pStyle w:val="Compact"/>
              <w:jc w:val="left"/>
            </w:pPr>
            <w:r>
              <w:t xml:space="preserve">TOTAL DUE</w:t>
            </w:r>
          </w:p>
        </w:tc>
        <w:tc>
          <w:tcPr/>
          <w:p>
            <w:pPr>
              <w:pStyle w:val="Compact"/>
              <w:jc w:val="right"/>
            </w:pPr>
            <w:r>
              <w:t xml:space="preserve">47,613,500</w:t>
            </w:r>
          </w:p>
        </w:tc>
      </w:tr>
    </w:tbl>
    <w:bookmarkStart w:id="23" w:name="payment-instructions-and-important-notes"/>
    <w:p>
      <w:pPr>
        <w:pStyle w:val="Heading3"/>
      </w:pPr>
      <w:r>
        <w:t xml:space="preserve">Payment Instructions and Important Notes</w:t>
      </w:r>
    </w:p>
    <w:p>
      <w:pPr>
        <w:pStyle w:val="FirstParagraph"/>
      </w:pPr>
      <w:r>
        <w:rPr>
          <w:bCs/>
          <w:b/>
        </w:rPr>
        <w:t xml:space="preserve">Bank Transfer:</w:t>
      </w:r>
      <w:r>
        <w:t xml:space="preserve"> </w:t>
      </w:r>
      <w:r>
        <w:t xml:space="preserve">Banco de Chile, Cuenta Corriente N° 12345678-9, RUT 76.543.210-K, Andes Political Strategy Group SpA, Santiago, Chile. Please reference Invoice number INV-2025-CHL-04782 in the transfer description.</w:t>
      </w:r>
    </w:p>
    <w:p>
      <w:pPr>
        <w:pStyle w:val="BodyText"/>
      </w:pPr>
      <w:r>
        <w:rPr>
          <w:bCs/>
          <w:b/>
        </w:rPr>
        <w:t xml:space="preserve">Payment Deadline:</w:t>
      </w:r>
      <w:r>
        <w:t xml:space="preserve"> </w:t>
      </w:r>
      <w:r>
        <w:t xml:space="preserve">This Invoice must be settled in full within thirty (30) calendar days from the issue date. Late payments will be subject to a penalty of 1.5% per month in accordance with Chilean commercial law (Código de Comercio, Article 1949).</w:t>
      </w:r>
    </w:p>
    <w:p>
      <w:pPr>
        <w:pStyle w:val="BodyText"/>
      </w:pPr>
      <w:r>
        <w:rPr>
          <w:bCs/>
          <w:b/>
        </w:rPr>
        <w:t xml:space="preserve">Compliance Statement:</w:t>
      </w:r>
      <w:r>
        <w:t xml:space="preserve"> </w:t>
      </w:r>
      <w:r>
        <w:t xml:space="preserve">All services described in this Invoice were performed in strict adherence to the Ley 20.591 on Political Financing in Chile and the regulations of the Contraloría General de la República. The Politician named herein has authorized the disclosure of these professional services for the purposes of public transparency and fiscal accountability.</w:t>
      </w:r>
    </w:p>
    <w:p>
      <w:pPr>
        <w:pStyle w:val="BodyText"/>
      </w:pPr>
      <w:r>
        <w:rPr>
          <w:bCs/>
          <w:b/>
        </w:rPr>
        <w:t xml:space="preserve">Dispute Resolution:</w:t>
      </w:r>
      <w:r>
        <w:t xml:space="preserve"> </w:t>
      </w:r>
      <w:r>
        <w:t xml:space="preserve">Any disputes arising from this Invoice shall be resolved through the competent courts of Santiago, Chile, in accordance with the applicable provisions of the Chilean Civil Code and Commercial Code.</w:t>
      </w:r>
    </w:p>
    <w:p>
      <w:pPr>
        <w:pStyle w:val="BodyText"/>
      </w:pPr>
      <w:r>
        <w:rPr>
          <w:bCs/>
          <w:b/>
        </w:rPr>
        <w:t xml:space="preserve">Confidentiality:</w:t>
      </w:r>
      <w:r>
        <w:t xml:space="preserve"> </w:t>
      </w:r>
      <w:r>
        <w:t xml:space="preserve">While this Invoice is subject to public disclosure requirements for elected officials in Chile, all strategic methodologies, proprietary research frameworks, and internal analytical tools employed by Andes Political Strategy Group SpA remain the exclusive intellectual property of the service provider.</w:t>
      </w:r>
    </w:p>
    <w:bookmarkEnd w:id="23"/>
    <w:p>
      <w:pPr>
        <w:pStyle w:val="BodyText"/>
      </w:pPr>
      <w:r>
        <w:t xml:space="preserve">This Invoice was generated electronically and is valid without a physical signature in accordance with Ley 19.799 on Electronic Documents and Electronic Signatures in Chile.</w:t>
      </w:r>
    </w:p>
    <w:p>
      <w:pPr>
        <w:pStyle w:val="BodyText"/>
      </w:pPr>
      <w:r>
        <w:t xml:space="preserve">Andes Political Strategy Group SpA — Santiago, Chile — RUT: 76.543.210-K</w:t>
      </w:r>
    </w:p>
    <w:p>
      <w:pPr>
        <w:pStyle w:val="BodyText"/>
      </w:pPr>
      <w:r>
        <w:t xml:space="preserve">© 2025 Andes Political Strategy Group SpA. All rights reserved. This document is the property of the issuing entity and the named Politician client.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Santiago, Chile</dc:title>
  <dc:creator/>
  <dc:language>en</dc:language>
  <cp:keywords/>
  <dcterms:created xsi:type="dcterms:W3CDTF">2026-10-10T04:45:59Z</dcterms:created>
  <dcterms:modified xsi:type="dcterms:W3CDTF">2026-10-10T04:45:59Z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