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China</w:t>
      </w:r>
      <w:r>
        <w:t xml:space="preserve"> </w:t>
      </w:r>
      <w:r>
        <w:t xml:space="preserve">Beijing</w:t>
      </w:r>
    </w:p>
    <w:p>
      <w:pPr>
        <w:pStyle w:val="FirstParagraph"/>
      </w:pPr>
      <w:r>
        <w:t xml:space="preserve">Beijing Political Advisory Group Co., Ltd.</w:t>
      </w:r>
    </w:p>
    <w:p>
      <w:pPr>
        <w:pStyle w:val="BodyText"/>
      </w:pPr>
      <w:r>
        <w:t xml:space="preserve">No. 88 Chang'an Avenue, Dongcheng District</w:t>
      </w:r>
      <w:r>
        <w:br/>
      </w:r>
      <w:r>
        <w:t xml:space="preserve">Beijing, China 100006</w:t>
      </w:r>
      <w:r>
        <w:br/>
      </w:r>
      <w:r>
        <w:t xml:space="preserve">Tel: +86-10-6520-8899 | Email: billing@bpag-china.cn</w:t>
      </w:r>
      <w:r>
        <w:br/>
      </w:r>
      <w:r>
        <w:t xml:space="preserve">Unified Social Credit Code: 91110101MA01KX7B2P</w:t>
      </w:r>
    </w:p>
    <w:p>
      <w:pPr>
        <w:pStyle w:val="BodyText"/>
      </w:pPr>
      <w:r>
        <w:t xml:space="preserve">INVOICE</w:t>
      </w:r>
    </w:p>
    <w:p>
      <w:pPr>
        <w:pStyle w:val="BodyText"/>
      </w:pPr>
      <w:r>
        <w:rPr>
          <w:bCs/>
          <w:b/>
        </w:rPr>
        <w:t xml:space="preserve">Invoice No.:</w:t>
      </w:r>
      <w:r>
        <w:t xml:space="preserve"> </w:t>
      </w:r>
      <w:r>
        <w:t xml:space="preserve">BPAG-2025-04721</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Official Invoice</w:t>
      </w:r>
    </w:p>
    <w:bookmarkStart w:id="20" w:name="bill-to"/>
    <w:p>
      <w:pPr>
        <w:pStyle w:val="Heading3"/>
      </w:pPr>
      <w:r>
        <w:t xml:space="preserve">Bill To</w:t>
      </w:r>
    </w:p>
    <w:p>
      <w:pPr>
        <w:pStyle w:val="FirstParagraph"/>
      </w:pPr>
      <w:r>
        <w:rPr>
          <w:bCs/>
          <w:b/>
        </w:rPr>
        <w:t xml:space="preserve">The Honorable Politician</w:t>
      </w:r>
    </w:p>
    <w:p>
      <w:pPr>
        <w:pStyle w:val="BodyText"/>
      </w:pPr>
      <w:r>
        <w:t xml:space="preserve">Office of the Standing Committee Member</w:t>
      </w:r>
    </w:p>
    <w:p>
      <w:pPr>
        <w:pStyle w:val="BodyText"/>
      </w:pPr>
      <w:r>
        <w:t xml:space="preserve">People's Congress, Beijing Municipal</w:t>
      </w:r>
    </w:p>
    <w:p>
      <w:pPr>
        <w:pStyle w:val="BodyText"/>
      </w:pPr>
      <w:r>
        <w:t xml:space="preserve">No. 1 Zhongnanhai, Xicheng District</w:t>
      </w:r>
    </w:p>
    <w:p>
      <w:pPr>
        <w:pStyle w:val="BodyText"/>
      </w:pPr>
      <w:r>
        <w:t xml:space="preserve">Beijing, China 100017</w:t>
      </w:r>
    </w:p>
    <w:p>
      <w:pPr>
        <w:pStyle w:val="BodyText"/>
      </w:pPr>
      <w:r>
        <w:t xml:space="preserve">Tax ID: 110102XXXXXXXXXX</w:t>
      </w:r>
    </w:p>
    <w:bookmarkEnd w:id="20"/>
    <w:bookmarkStart w:id="21" w:name="issued-by"/>
    <w:p>
      <w:pPr>
        <w:pStyle w:val="Heading3"/>
      </w:pPr>
      <w:r>
        <w:t xml:space="preserve">Issued By</w:t>
      </w:r>
    </w:p>
    <w:p>
      <w:pPr>
        <w:pStyle w:val="FirstParagraph"/>
      </w:pPr>
      <w:r>
        <w:rPr>
          <w:bCs/>
          <w:b/>
        </w:rPr>
        <w:t xml:space="preserve">Beijing Political Advisory Group Co., Ltd.</w:t>
      </w:r>
    </w:p>
    <w:p>
      <w:pPr>
        <w:pStyle w:val="BodyText"/>
      </w:pPr>
      <w:r>
        <w:t xml:space="preserve">Attn: Finance &amp; Accounts Department</w:t>
      </w:r>
    </w:p>
    <w:p>
      <w:pPr>
        <w:pStyle w:val="BodyText"/>
      </w:pPr>
      <w:r>
        <w:t xml:space="preserve">No. 88 Chang'an Avenue, Dongcheng District</w:t>
      </w:r>
    </w:p>
    <w:p>
      <w:pPr>
        <w:pStyle w:val="BodyText"/>
      </w:pPr>
      <w:r>
        <w:t xml:space="preserve">Beijing, China 100006</w:t>
      </w:r>
    </w:p>
    <w:p>
      <w:pPr>
        <w:pStyle w:val="BodyText"/>
      </w:pPr>
      <w:r>
        <w:t xml:space="preserve">Bank: Bank of China, Beijing Branch</w:t>
      </w:r>
    </w:p>
    <w:p>
      <w:pPr>
        <w:pStyle w:val="BodyText"/>
      </w:pPr>
      <w:r>
        <w:t xml:space="preserve">Account No.: 1000 5899 8877 6655</w:t>
      </w:r>
    </w:p>
    <w:bookmarkEnd w:id="21"/>
    <w:bookmarkStart w:id="23" w:name="Xc67cf0d61de8ffa5cb548777c399253143d0520"/>
    <w:p>
      <w:pPr>
        <w:pStyle w:val="Heading2"/>
      </w:pPr>
      <w:r>
        <w:t xml:space="preserve">Description of Services Rendered to the Politician's Office in China Beijing</w:t>
      </w:r>
    </w:p>
    <w:p>
      <w:pPr>
        <w:pStyle w:val="FirstParagraph"/>
      </w:pPr>
      <w:r>
        <w:t xml:space="preserve">This Invoice documents the professional advisory, research, and logistical services provided by Beijing Political Advisory Group Co., Ltd. to the designated Politician and their administrative office during the period of January 2025 through May 2025. All services were conducted in compliance with the regulations of the People's Republic of China and the administrative protocols of Beijing municipal governance.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Strategic policy research and legislative drafting support for the Politician's committee portfolio, including analysis of urban development frameworks applicable to China Beijing metropolitan planning</w:t>
            </w:r>
          </w:p>
        </w:tc>
        <w:tc>
          <w:tcPr/>
          <w:p>
            <w:pPr>
              <w:pStyle w:val="Compact"/>
              <w:jc w:val="left"/>
            </w:pPr>
            <w:r>
              <w:t xml:space="preserve">Jan – May 2025</w:t>
            </w:r>
          </w:p>
        </w:tc>
        <w:tc>
          <w:tcPr/>
          <w:p>
            <w:pPr>
              <w:pStyle w:val="Compact"/>
              <w:jc w:val="left"/>
            </w:pPr>
            <w:r>
              <w:t xml:space="preserve">5 months</w:t>
            </w:r>
          </w:p>
        </w:tc>
        <w:tc>
          <w:tcPr/>
          <w:p>
            <w:pPr>
              <w:pStyle w:val="Compact"/>
              <w:jc w:val="left"/>
            </w:pPr>
            <w:r>
              <w:t xml:space="preserve">45,000.00</w:t>
            </w:r>
          </w:p>
        </w:tc>
        <w:tc>
          <w:tcPr/>
          <w:p>
            <w:pPr>
              <w:pStyle w:val="Compact"/>
              <w:jc w:val="left"/>
            </w:pPr>
            <w:r>
              <w:t xml:space="preserve">225,000.00</w:t>
            </w:r>
          </w:p>
        </w:tc>
      </w:tr>
      <w:tr>
        <w:tc>
          <w:tcPr/>
          <w:p>
            <w:pPr>
              <w:pStyle w:val="Compact"/>
              <w:jc w:val="left"/>
            </w:pPr>
            <w:r>
              <w:t xml:space="preserve">02</w:t>
            </w:r>
          </w:p>
        </w:tc>
        <w:tc>
          <w:tcPr/>
          <w:p>
            <w:pPr>
              <w:pStyle w:val="Compact"/>
              <w:jc w:val="left"/>
            </w:pPr>
            <w:r>
              <w:t xml:space="preserve">Constitutional and regulatory compliance review of proposed municipal ordinances submitted by the Politician to the Beijing Municipal People's Congress</w:t>
            </w:r>
          </w:p>
        </w:tc>
        <w:tc>
          <w:tcPr/>
          <w:p>
            <w:pPr>
              <w:pStyle w:val="Compact"/>
              <w:jc w:val="left"/>
            </w:pPr>
            <w:r>
              <w:t xml:space="preserve">Feb – Apr 2025</w:t>
            </w:r>
          </w:p>
        </w:tc>
        <w:tc>
          <w:tcPr/>
          <w:p>
            <w:pPr>
              <w:pStyle w:val="Compact"/>
              <w:jc w:val="left"/>
            </w:pPr>
            <w:r>
              <w:t xml:space="preserve">3 months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03</w:t>
            </w:r>
          </w:p>
        </w:tc>
        <w:tc>
          <w:tcPr/>
          <w:p>
            <w:pPr>
              <w:pStyle w:val="Compact"/>
              <w:jc w:val="left"/>
            </w:pPr>
            <w:r>
              <w:t xml:space="preserve">Public engagement strategy and constituent feedback analysis for the Politician's district office in Dongcheng, China Beijing, including multilingual community outreach materials</w:t>
            </w:r>
          </w:p>
        </w:tc>
        <w:tc>
          <w:tcPr/>
          <w:p>
            <w:pPr>
              <w:pStyle w:val="Compact"/>
              <w:jc w:val="left"/>
            </w:pPr>
            <w:r>
              <w:t xml:space="preserve">Jan – May 2025</w:t>
            </w:r>
          </w:p>
        </w:tc>
        <w:tc>
          <w:tcPr/>
          <w:p>
            <w:pPr>
              <w:pStyle w:val="Compact"/>
              <w:jc w:val="left"/>
            </w:pPr>
            <w:r>
              <w:t xml:space="preserve">5 months</w:t>
            </w:r>
          </w:p>
        </w:tc>
        <w:tc>
          <w:tcPr/>
          <w:p>
            <w:pPr>
              <w:pStyle w:val="Compact"/>
              <w:jc w:val="left"/>
            </w:pPr>
            <w:r>
              <w:t xml:space="preserve">28,500.00</w:t>
            </w:r>
          </w:p>
        </w:tc>
        <w:tc>
          <w:tcPr/>
          <w:p>
            <w:pPr>
              <w:pStyle w:val="Compact"/>
              <w:jc w:val="left"/>
            </w:pPr>
            <w:r>
              <w:t xml:space="preserve">142,500.00</w:t>
            </w:r>
          </w:p>
        </w:tc>
      </w:tr>
      <w:tr>
        <w:tc>
          <w:tcPr/>
          <w:p>
            <w:pPr>
              <w:pStyle w:val="Compact"/>
              <w:jc w:val="left"/>
            </w:pPr>
            <w:r>
              <w:t xml:space="preserve">04</w:t>
            </w:r>
          </w:p>
        </w:tc>
        <w:tc>
          <w:tcPr/>
          <w:p>
            <w:pPr>
              <w:pStyle w:val="Compact"/>
              <w:jc w:val="left"/>
            </w:pPr>
            <w:r>
              <w:t xml:space="preserve">Logistical coordination and event management for four (4) official public forums hosted by the Politician at the Beijing International Convention Center</w:t>
            </w:r>
          </w:p>
        </w:tc>
        <w:tc>
          <w:tcPr/>
          <w:p>
            <w:pPr>
              <w:pStyle w:val="Compact"/>
              <w:jc w:val="left"/>
            </w:pPr>
            <w:r>
              <w:t xml:space="preserve">Mar &amp; May 2025</w:t>
            </w:r>
          </w:p>
        </w:tc>
        <w:tc>
          <w:tcPr/>
          <w:p>
            <w:pPr>
              <w:pStyle w:val="Compact"/>
              <w:jc w:val="left"/>
            </w:pPr>
            <w:r>
              <w:t xml:space="preserve">4 events</w:t>
            </w:r>
          </w:p>
        </w:tc>
        <w:tc>
          <w:tcPr/>
          <w:p>
            <w:pPr>
              <w:pStyle w:val="Compact"/>
              <w:jc w:val="left"/>
            </w:pPr>
            <w:r>
              <w:t xml:space="preserve">18,000.00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Translation and interpretation services (Mandarin Chinese to English) for the Politician's bilateral diplomatic briefings conducted in China Beijing</w:t>
            </w:r>
          </w:p>
        </w:tc>
        <w:tc>
          <w:tcPr/>
          <w:p>
            <w:pPr>
              <w:pStyle w:val="Compact"/>
              <w:jc w:val="left"/>
            </w:pPr>
            <w:r>
              <w:t xml:space="preserve">Jan – May 2025</w:t>
            </w:r>
          </w:p>
        </w:tc>
        <w:tc>
          <w:tcPr/>
          <w:p>
            <w:pPr>
              <w:pStyle w:val="Compact"/>
              <w:jc w:val="left"/>
            </w:pPr>
            <w:r>
              <w:t xml:space="preserve">120 hours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06</w:t>
            </w:r>
          </w:p>
        </w:tc>
        <w:tc>
          <w:tcPr/>
          <w:p>
            <w:pPr>
              <w:pStyle w:val="Compact"/>
              <w:jc w:val="left"/>
            </w:pPr>
            <w:r>
              <w:t xml:space="preserve">Digital security and data protection audit of the Politician's office communication systems in accordance with China's Personal Information Protection Law</w:t>
            </w:r>
          </w:p>
        </w:tc>
        <w:tc>
          <w:tcPr/>
          <w:p>
            <w:pPr>
              <w:pStyle w:val="Compact"/>
              <w:jc w:val="left"/>
            </w:pPr>
            <w:r>
              <w:t xml:space="preserve">Apr 2025</w:t>
            </w:r>
          </w:p>
        </w:tc>
        <w:tc>
          <w:tcPr/>
          <w:p>
            <w:pPr>
              <w:pStyle w:val="Compact"/>
              <w:jc w:val="left"/>
            </w:pPr>
            <w:r>
              <w:t xml:space="preserve">1 engagement</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07</w:t>
            </w:r>
          </w:p>
        </w:tc>
        <w:tc>
          <w:tcPr/>
          <w:p>
            <w:pPr>
              <w:pStyle w:val="Compact"/>
              <w:jc w:val="left"/>
            </w:pPr>
            <w:r>
              <w:t xml:space="preserve">Archival and records management services for the Politician's legislative correspondence and committee minutes stored at the Beijing Municipal Archives</w:t>
            </w:r>
          </w:p>
        </w:tc>
        <w:tc>
          <w:tcPr/>
          <w:p>
            <w:pPr>
              <w:pStyle w:val="Compact"/>
              <w:jc w:val="left"/>
            </w:pPr>
            <w:r>
              <w:t xml:space="preserve">Jan – May 2025</w:t>
            </w:r>
          </w:p>
        </w:tc>
        <w:tc>
          <w:tcPr/>
          <w:p>
            <w:pPr>
              <w:pStyle w:val="Compact"/>
              <w:jc w:val="left"/>
            </w:pPr>
            <w:r>
              <w:t xml:space="preserve">5 months</w:t>
            </w:r>
          </w:p>
        </w:tc>
        <w:tc>
          <w:tcPr/>
          <w:p>
            <w:pPr>
              <w:pStyle w:val="Compact"/>
              <w:jc w:val="left"/>
            </w:pPr>
            <w:r>
              <w:t xml:space="preserve">12,000.00</w:t>
            </w:r>
          </w:p>
        </w:tc>
        <w:tc>
          <w:tcPr/>
          <w:p>
            <w:pPr>
              <w:pStyle w:val="Compact"/>
              <w:jc w:val="left"/>
            </w:pPr>
            <w:r>
              <w:t xml:space="preserve">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762,500.00 CNY</w:t>
            </w:r>
          </w:p>
        </w:tc>
      </w:tr>
      <w:tr>
        <w:tc>
          <w:tcPr/>
          <w:p>
            <w:pPr>
              <w:pStyle w:val="Compact"/>
              <w:jc w:val="left"/>
            </w:pPr>
            <w:r>
              <w:t xml:space="preserve">VAT (6% - Professional Services)</w:t>
            </w:r>
          </w:p>
        </w:tc>
        <w:tc>
          <w:tcPr/>
          <w:p>
            <w:pPr>
              <w:pStyle w:val="Compact"/>
              <w:jc w:val="right"/>
            </w:pPr>
            <w:r>
              <w:t xml:space="preserve">45,750.00 CNY</w:t>
            </w:r>
          </w:p>
        </w:tc>
      </w:tr>
      <w:tr>
        <w:tc>
          <w:tcPr/>
          <w:p>
            <w:pPr>
              <w:pStyle w:val="Compact"/>
              <w:jc w:val="left"/>
            </w:pPr>
            <w:r>
              <w:t xml:space="preserve">Administrative Processing Fee</w:t>
            </w:r>
          </w:p>
        </w:tc>
        <w:tc>
          <w:tcPr/>
          <w:p>
            <w:pPr>
              <w:pStyle w:val="Compact"/>
              <w:jc w:val="right"/>
            </w:pPr>
            <w:r>
              <w:t xml:space="preserve">3,812.50 CNY</w:t>
            </w:r>
          </w:p>
        </w:tc>
      </w:tr>
      <w:tr>
        <w:tc>
          <w:tcPr/>
          <w:p>
            <w:pPr>
              <w:pStyle w:val="Compact"/>
              <w:jc w:val="left"/>
            </w:pPr>
            <w:r>
              <w:t xml:space="preserve">Grand Total Due</w:t>
            </w:r>
          </w:p>
        </w:tc>
        <w:tc>
          <w:tcPr/>
          <w:p>
            <w:pPr>
              <w:pStyle w:val="Compact"/>
              <w:jc w:val="right"/>
            </w:pPr>
            <w:r>
              <w:t xml:space="preserve">812,062.50 CNY</w:t>
            </w:r>
          </w:p>
        </w:tc>
      </w:tr>
    </w:tbl>
    <w:bookmarkStart w:id="22" w:name="terms-conditions-and-compliance-notes"/>
    <w:p>
      <w:pPr>
        <w:pStyle w:val="Heading3"/>
      </w:pPr>
      <w:r>
        <w:t xml:space="preserve">Terms, Conditions, and Compliance Notes</w:t>
      </w:r>
    </w:p>
    <w:p>
      <w:pPr>
        <w:numPr>
          <w:ilvl w:val="0"/>
          <w:numId w:val="1001"/>
        </w:numPr>
        <w:pStyle w:val="Compact"/>
      </w:pPr>
      <w:r>
        <w:t xml:space="preserve">This Invoice is issued in accordance with the Invoice Management Measures of the People's Republic of China (State Taxation Administration Order No. 48) and must be retained by the Politician's office for a minimum period of ten (10) years for audit purposes.</w:t>
      </w:r>
    </w:p>
    <w:p>
      <w:pPr>
        <w:numPr>
          <w:ilvl w:val="0"/>
          <w:numId w:val="1001"/>
        </w:numPr>
        <w:pStyle w:val="Compact"/>
      </w:pPr>
      <w:r>
        <w:t xml:space="preserve">Payment is due within thirty (30) calendar days of the Issue Date via bank transfer to the account specified above. Late payments shall accrue interest at 0.05% per day as stipulated under Chinese commercial contract law.</w:t>
      </w:r>
    </w:p>
    <w:p>
      <w:pPr>
        <w:numPr>
          <w:ilvl w:val="0"/>
          <w:numId w:val="1001"/>
        </w:numPr>
        <w:pStyle w:val="Compact"/>
      </w:pPr>
      <w:r>
        <w:t xml:space="preserve">All services described in this Invoice were performed exclusively within the administrative boundaries of China Beijing and are subject to the jurisdiction of the Dongcheng District People's Court for any disputes arising from this engagement.</w:t>
      </w:r>
    </w:p>
    <w:p>
      <w:pPr>
        <w:numPr>
          <w:ilvl w:val="0"/>
          <w:numId w:val="1001"/>
        </w:numPr>
        <w:pStyle w:val="Compact"/>
      </w:pPr>
      <w:r>
        <w:t xml:space="preserve">The Politician's office acknowledges that all deliverables, research documents, and strategic materials produced under this Invoice remain the intellectual property of the commissioning office unless otherwise agreed in writing.</w:t>
      </w:r>
    </w:p>
    <w:p>
      <w:pPr>
        <w:numPr>
          <w:ilvl w:val="0"/>
          <w:numId w:val="1001"/>
        </w:numPr>
        <w:pStyle w:val="Compact"/>
      </w:pPr>
      <w:r>
        <w:t xml:space="preserve">This Invoice does not constitute a political endorsement, campaign contribution, or donation. All fees represent compensation for professional services rendered in a commercial capacity. The Politician's acceptance of these services is governed by the relevant provisions of the Chinese Communist Party's disciplinary regulations and the Administrative Measures for Government Procurement.</w:t>
      </w:r>
    </w:p>
    <w:p>
      <w:pPr>
        <w:numPr>
          <w:ilvl w:val="0"/>
          <w:numId w:val="1001"/>
        </w:numPr>
        <w:pStyle w:val="Compact"/>
      </w:pPr>
      <w:r>
        <w:t xml:space="preserve">For tax reporting purposes, this Invoice shall be registered with the Beijing Municipal Tax Bureau under the Politician's office tax identification number. A duplicate copy of this Invoice may be requested from the Finance Department within ninety (90) days of issuance.</w:t>
      </w:r>
    </w:p>
    <w:p>
      <w:pPr>
        <w:numPr>
          <w:ilvl w:val="0"/>
          <w:numId w:val="1001"/>
        </w:numPr>
        <w:pStyle w:val="Compact"/>
      </w:pPr>
      <w:r>
        <w:t xml:space="preserve">All personal data processed in connection with this Invoice complies with the Cybersecurity Law of the People's Republic of China, the Data Security Law, and the Personal Information Protection Law effective November 1, 2021.</w:t>
      </w:r>
    </w:p>
    <w:bookmarkEnd w:id="22"/>
    <w:p>
      <w:pPr>
        <w:pStyle w:val="FirstParagraph"/>
      </w:pPr>
      <w:r>
        <w:t xml:space="preserve">Beijing Political Advisory Group Co., Ltd. | No. 88 Chang'an Avenue, Dongcheng District, Beijing, China 100006</w:t>
      </w:r>
    </w:p>
    <w:p>
      <w:pPr>
        <w:pStyle w:val="BodyText"/>
      </w:pPr>
      <w:r>
        <w:t xml:space="preserve">This Invoice was generated electronically and is valid without a physical signature pursuant to Article 14 of the Electronic Signature Law of the PRC.</w:t>
      </w:r>
    </w:p>
    <w:p>
      <w:pPr>
        <w:pStyle w:val="BodyText"/>
      </w:pPr>
      <w:r>
        <w:t xml:space="preserve">Document Reference: BPAG-2025-04721 | Generated: 2025-06-15 09:32:17 CST | Page 1 of 1</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China Beijing</dc:title>
  <dc:creator/>
  <dc:language>en</dc:language>
  <cp:keywords/>
  <dcterms:created xsi:type="dcterms:W3CDTF">2026-10-10T01:56:10Z</dcterms:created>
  <dcterms:modified xsi:type="dcterms:W3CDTF">2026-10-10T01:56:10Z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