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Advisory</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invoice"/>
    <w:p>
      <w:pPr>
        <w:pStyle w:val="Heading1"/>
      </w:pPr>
      <w:r>
        <w:t xml:space="preserve">INVOICE</w:t>
      </w:r>
    </w:p>
    <w:p>
      <w:pPr>
        <w:pStyle w:val="FirstParagraph"/>
      </w:pPr>
      <w:r>
        <w:t xml:space="preserve">Official Invoice for Political Advisory and Municipal Development Services</w:t>
      </w:r>
    </w:p>
    <w:p>
      <w:pPr>
        <w:pStyle w:val="BodyText"/>
      </w:pPr>
      <w:r>
        <w:t xml:space="preserve">Issued in Egypt Alexandria, Republic of Egypt</w:t>
      </w:r>
    </w:p>
    <w:p>
      <w:pPr>
        <w:pStyle w:val="BodyText"/>
      </w:pPr>
      <w:r>
        <w:t xml:space="preserve">INVOICE NO: EGY-ALX-2025-04782</w:t>
      </w:r>
    </w:p>
    <w:bookmarkEnd w:id="20"/>
    <w:bookmarkStart w:id="21" w:name="issued-by-politician-service-provider"/>
    <w:p>
      <w:pPr>
        <w:pStyle w:val="Heading3"/>
      </w:pPr>
      <w:r>
        <w:t xml:space="preserve">Issued By (Politician / Service Provider)</w:t>
      </w:r>
    </w:p>
    <w:p>
      <w:pPr>
        <w:pStyle w:val="FirstParagraph"/>
      </w:pPr>
      <w:r>
        <w:rPr>
          <w:bCs/>
          <w:b/>
        </w:rPr>
        <w:t xml:space="preserve">Name:</w:t>
      </w:r>
      <w:r>
        <w:t xml:space="preserve"> </w:t>
      </w:r>
      <w:r>
        <w:t xml:space="preserve">Dr. Hassan Al-Mansouri</w:t>
      </w:r>
    </w:p>
    <w:p>
      <w:pPr>
        <w:pStyle w:val="BodyText"/>
      </w:pPr>
      <w:r>
        <w:rPr>
          <w:bCs/>
          <w:b/>
        </w:rPr>
        <w:t xml:space="preserve">Title:</w:t>
      </w:r>
      <w:r>
        <w:t xml:space="preserve"> </w:t>
      </w:r>
      <w:r>
        <w:t xml:space="preserve">Elected Politician &amp; Municipal Councillor</w:t>
      </w:r>
    </w:p>
    <w:p>
      <w:pPr>
        <w:pStyle w:val="BodyText"/>
      </w:pPr>
      <w:r>
        <w:rPr>
          <w:bCs/>
          <w:b/>
        </w:rPr>
        <w:t xml:space="preserve">Office:</w:t>
      </w:r>
      <w:r>
        <w:t xml:space="preserve"> </w:t>
      </w:r>
      <w:r>
        <w:t xml:space="preserve">Alexandria Municipal Council, District 4</w:t>
      </w:r>
    </w:p>
    <w:p>
      <w:pPr>
        <w:pStyle w:val="BodyText"/>
      </w:pPr>
      <w:r>
        <w:rPr>
          <w:bCs/>
          <w:b/>
        </w:rPr>
        <w:t xml:space="preserve">Address:</w:t>
      </w:r>
      <w:r>
        <w:t xml:space="preserve"> </w:t>
      </w:r>
      <w:r>
        <w:t xml:space="preserve">142 Corniche El-Nil Street, Smouha, Egypt Alexandria</w:t>
      </w:r>
    </w:p>
    <w:p>
      <w:pPr>
        <w:pStyle w:val="BodyText"/>
      </w:pPr>
      <w:r>
        <w:rPr>
          <w:bCs/>
          <w:b/>
        </w:rPr>
        <w:t xml:space="preserve">Tax ID:</w:t>
      </w:r>
      <w:r>
        <w:t xml:space="preserve"> </w:t>
      </w:r>
      <w:r>
        <w:t xml:space="preserve">592-847-103-EG</w:t>
      </w:r>
    </w:p>
    <w:p>
      <w:pPr>
        <w:pStyle w:val="BodyText"/>
      </w:pPr>
      <w:r>
        <w:rPr>
          <w:bCs/>
          <w:b/>
        </w:rPr>
        <w:t xml:space="preserve">Email:</w:t>
      </w:r>
      <w:r>
        <w:t xml:space="preserve"> </w:t>
      </w:r>
      <w:r>
        <w:t xml:space="preserve">h.almansouri@alexandria-council.gov.eg</w:t>
      </w:r>
    </w:p>
    <w:p>
      <w:pPr>
        <w:pStyle w:val="BodyText"/>
      </w:pPr>
      <w:r>
        <w:rPr>
          <w:bCs/>
          <w:b/>
        </w:rPr>
        <w:t xml:space="preserve">Phone:</w:t>
      </w:r>
      <w:r>
        <w:t xml:space="preserve"> </w:t>
      </w:r>
      <w:r>
        <w:t xml:space="preserve">+20 3 552 8841</w:t>
      </w:r>
    </w:p>
    <w:bookmarkEnd w:id="21"/>
    <w:bookmarkStart w:id="22" w:name="issued-to-client-paying-entity"/>
    <w:p>
      <w:pPr>
        <w:pStyle w:val="Heading3"/>
      </w:pPr>
      <w:r>
        <w:t xml:space="preserve">Issued To (Client / Paying Entity)</w:t>
      </w:r>
    </w:p>
    <w:p>
      <w:pPr>
        <w:pStyle w:val="FirstParagraph"/>
      </w:pPr>
      <w:r>
        <w:rPr>
          <w:bCs/>
          <w:b/>
        </w:rPr>
        <w:t xml:space="preserve">Organization:</w:t>
      </w:r>
      <w:r>
        <w:t xml:space="preserve"> </w:t>
      </w:r>
      <w:r>
        <w:t xml:space="preserve">Alexandria Coastal Development Authority</w:t>
      </w:r>
    </w:p>
    <w:p>
      <w:pPr>
        <w:pStyle w:val="BodyText"/>
      </w:pPr>
      <w:r>
        <w:rPr>
          <w:bCs/>
          <w:b/>
        </w:rPr>
        <w:t xml:space="preserve">Attn:</w:t>
      </w:r>
      <w:r>
        <w:t xml:space="preserve"> </w:t>
      </w:r>
      <w:r>
        <w:t xml:space="preserve">Eng. Layla Farouk, Director of Projects</w:t>
      </w:r>
    </w:p>
    <w:p>
      <w:pPr>
        <w:pStyle w:val="BodyText"/>
      </w:pPr>
      <w:r>
        <w:rPr>
          <w:bCs/>
          <w:b/>
        </w:rPr>
        <w:t xml:space="preserve">Address:</w:t>
      </w:r>
      <w:r>
        <w:t xml:space="preserve"> </w:t>
      </w:r>
      <w:r>
        <w:t xml:space="preserve">8 Marina Square, East Port, Egypt Alexandria</w:t>
      </w:r>
    </w:p>
    <w:p>
      <w:pPr>
        <w:pStyle w:val="BodyText"/>
      </w:pPr>
      <w:r>
        <w:rPr>
          <w:bCs/>
          <w:b/>
        </w:rPr>
        <w:t xml:space="preserve">Tax ID:</w:t>
      </w:r>
      <w:r>
        <w:t xml:space="preserve"> </w:t>
      </w:r>
      <w:r>
        <w:t xml:space="preserve">741-203-556-EG</w:t>
      </w:r>
    </w:p>
    <w:p>
      <w:pPr>
        <w:pStyle w:val="BodyText"/>
      </w:pPr>
      <w:r>
        <w:rPr>
          <w:bCs/>
          <w:b/>
        </w:rPr>
        <w:t xml:space="preserve">Email:</w:t>
      </w:r>
      <w:r>
        <w:t xml:space="preserve"> </w:t>
      </w:r>
      <w:r>
        <w:t xml:space="preserve">l.farouk@acda.gov.eg</w:t>
      </w:r>
    </w:p>
    <w:p>
      <w:pPr>
        <w:pStyle w:val="BodyText"/>
      </w:pPr>
      <w:r>
        <w:rPr>
          <w:bCs/>
          <w:b/>
        </w:rPr>
        <w:t xml:space="preserve">Phone:</w:t>
      </w:r>
      <w:r>
        <w:t xml:space="preserve"> </w:t>
      </w:r>
      <w:r>
        <w:t xml:space="preserve">+20 3 489 2210</w:t>
      </w:r>
    </w:p>
    <w:bookmarkEnd w:id="22"/>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Payment Method:</w:t>
      </w:r>
      <w:r>
        <w:t xml:space="preserve"> </w:t>
      </w:r>
      <w:r>
        <w:t xml:space="preserve">Bank Transfer / Cheque</w:t>
      </w:r>
    </w:p>
    <w:p>
      <w:pPr>
        <w:pStyle w:val="BodyText"/>
      </w:pPr>
      <w:r>
        <w:rPr>
          <w:bCs/>
          <w:b/>
        </w:rPr>
        <w:t xml:space="preserve">Bank:</w:t>
      </w:r>
      <w:r>
        <w:t xml:space="preserve"> </w:t>
      </w:r>
      <w:r>
        <w:t xml:space="preserve">National Bank of Egypt, Alexandria Branch</w:t>
      </w:r>
    </w:p>
    <w:p>
      <w:pPr>
        <w:pStyle w:val="BodyText"/>
      </w:pPr>
      <w:r>
        <w:rPr>
          <w:bCs/>
          <w:b/>
        </w:rPr>
        <w:t xml:space="preserve">Account No:</w:t>
      </w:r>
      <w:r>
        <w:t xml:space="preserve"> </w:t>
      </w:r>
      <w:r>
        <w:t xml:space="preserve">004-772-193-558</w:t>
      </w:r>
    </w:p>
    <w:p>
      <w:pPr>
        <w:pStyle w:val="BodyText"/>
      </w:pPr>
      <w:r>
        <w:rPr>
          <w:bCs/>
          <w:b/>
        </w:rPr>
        <w:t xml:space="preserve">Reference / Contract No:</w:t>
      </w:r>
      <w:r>
        <w:t xml:space="preserve"> </w:t>
      </w:r>
      <w:r>
        <w:t xml:space="preserve">ACD-2025-POL-019</w:t>
      </w:r>
    </w:p>
    <w:p>
      <w:pPr>
        <w:pStyle w:val="BodyText"/>
      </w:pPr>
      <w:r>
        <w:rPr>
          <w:bCs/>
          <w:b/>
        </w:rPr>
        <w:t xml:space="preserve">Service Period:</w:t>
      </w:r>
      <w:r>
        <w:t xml:space="preserve"> </w:t>
      </w:r>
      <w:r>
        <w:t xml:space="preserve">1 January 2025 – 31 May 2025</w:t>
      </w:r>
    </w:p>
    <w:p>
      <w:pPr>
        <w:pStyle w:val="BodyText"/>
      </w:pPr>
      <w:r>
        <w:rPr>
          <w:bCs/>
          <w:b/>
        </w:rPr>
        <w:t xml:space="preserve">Currency:</w:t>
      </w:r>
      <w:r>
        <w:t xml:space="preserve"> </w:t>
      </w:r>
      <w:r>
        <w:t xml:space="preserve">Egyptian Pound (EGP)</w:t>
      </w:r>
    </w:p>
    <w:p>
      <w:pPr>
        <w:pStyle w:val="BodyText"/>
      </w:pPr>
      <w:r>
        <w:rPr>
          <w:bCs/>
          <w:b/>
        </w:rPr>
        <w:t xml:space="preserve">Governing Jurisdiction:</w:t>
      </w:r>
      <w:r>
        <w:t xml:space="preserve"> </w:t>
      </w:r>
      <w:r>
        <w:t xml:space="preserve">Egypt Alexandria, Republic of Egypt</w:t>
      </w:r>
    </w:p>
    <w:bookmarkStart w:id="24" w:name="description-of-services-rendered"/>
    <w:p>
      <w:pPr>
        <w:pStyle w:val="Heading2"/>
      </w:pPr>
      <w:r>
        <w:t xml:space="preserve">Description of Services Rendered</w:t>
      </w:r>
    </w:p>
    <w:p>
      <w:pPr>
        <w:pStyle w:val="FirstParagraph"/>
      </w:pPr>
      <w:r>
        <w:t xml:space="preserve">This Invoice is issued by the undersigned Politician, Dr. Hassan Al-Mansouri, in his capacity as an elected municipal councillor and political advisor, to the Alexandria Coastal Development Authority. The following services were rendered in Egypt Alexandria during the stated service period under Contract No. ACD-2025-POL-019:</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Political advisory sessions on coastal zoning policy for the Alexandria waterfront redevelopment initiative. The Politician provided strategic guidance to the municipal planning committee regarding stakeholder engagement and legislative alignment.</w:t>
            </w:r>
          </w:p>
        </w:tc>
        <w:tc>
          <w:tcPr/>
          <w:p>
            <w:pPr>
              <w:pStyle w:val="Compact"/>
              <w:jc w:val="left"/>
            </w:pPr>
            <w:r>
              <w:t xml:space="preserve">24 sessions</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2</w:t>
            </w:r>
          </w:p>
        </w:tc>
        <w:tc>
          <w:tcPr/>
          <w:p>
            <w:pPr>
              <w:pStyle w:val="Compact"/>
              <w:jc w:val="left"/>
            </w:pPr>
            <w:r>
              <w:t xml:space="preserve">Preparation and submission of three formal policy briefs to the Alexandria City Council regarding sustainable tourism development along the Egypt Alexandria coastline, including economic impact assessments and community consultation frameworks.</w:t>
            </w:r>
          </w:p>
        </w:tc>
        <w:tc>
          <w:tcPr/>
          <w:p>
            <w:pPr>
              <w:pStyle w:val="Compact"/>
              <w:jc w:val="left"/>
            </w:pPr>
            <w:r>
              <w:t xml:space="preserve">3 briefs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Facilitation of two public town-hall meetings in Egypt Alexandria (Smouha and Montazah districts) to gather citizen feedback on the coastal development plan. The Politician coordinated with local community leaders, media representatives, and municipal staff.</w:t>
            </w:r>
          </w:p>
        </w:tc>
        <w:tc>
          <w:tcPr/>
          <w:p>
            <w:pPr>
              <w:pStyle w:val="Compact"/>
              <w:jc w:val="left"/>
            </w:pPr>
            <w:r>
              <w:t xml:space="preserve">2 events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4</w:t>
            </w:r>
          </w:p>
        </w:tc>
        <w:tc>
          <w:tcPr/>
          <w:p>
            <w:pPr>
              <w:pStyle w:val="Compact"/>
              <w:jc w:val="left"/>
            </w:pPr>
            <w:r>
              <w:t xml:space="preserve">Drafting of a comprehensive political communication strategy for the Alexandria Coastal Development Authority's public awareness campaign, including press releases, social media content plans, and parliamentary briefing documents.</w:t>
            </w:r>
          </w:p>
        </w:tc>
        <w:tc>
          <w:tcPr/>
          <w:p>
            <w:pPr>
              <w:pStyle w:val="Compact"/>
              <w:jc w:val="left"/>
            </w:pPr>
            <w:r>
              <w:t xml:space="preserve">1 package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Representation of the Alexandria Coastal Development Authority at the National Municipal Leaders Conference held in Cairo, where the Politician presented the Egypt Alexandria coastal project to federal ministers and inter-municipal delegates.</w:t>
            </w:r>
          </w:p>
        </w:tc>
        <w:tc>
          <w:tcPr/>
          <w:p>
            <w:pPr>
              <w:pStyle w:val="Compact"/>
              <w:jc w:val="left"/>
            </w:pPr>
            <w:r>
              <w:t xml:space="preserve">1 event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Monthly progress reporting and compliance documentation for the political advisory engagement, including attendance logs, meeting minutes, and deliverable tracking as required by the Egypt Alexandria municipal governance regulations.</w:t>
            </w:r>
          </w:p>
        </w:tc>
        <w:tc>
          <w:tcPr/>
          <w:p>
            <w:pPr>
              <w:pStyle w:val="Compact"/>
              <w:jc w:val="left"/>
            </w:pPr>
            <w:r>
              <w:t xml:space="preserve">5 months</w:t>
            </w:r>
          </w:p>
        </w:tc>
        <w:tc>
          <w:tcPr/>
          <w:p>
            <w:pPr>
              <w:pStyle w:val="Compact"/>
              <w:jc w:val="left"/>
            </w:pPr>
            <w:r>
              <w:t xml:space="preserve">4,200.00</w:t>
            </w:r>
          </w:p>
        </w:tc>
        <w:tc>
          <w:tcPr/>
          <w:p>
            <w:pPr>
              <w:pStyle w:val="Compact"/>
              <w:jc w:val="left"/>
            </w:pPr>
            <w:r>
              <w:t xml:space="preserve">21,000.00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EGP 218,000.00</w:t>
            </w:r>
          </w:p>
        </w:tc>
      </w:tr>
      <w:tr>
        <w:tc>
          <w:tcPr/>
          <w:p>
            <w:pPr>
              <w:pStyle w:val="Compact"/>
              <w:jc w:val="left"/>
            </w:pPr>
            <w:r>
              <w:t xml:space="preserve">VAT (14%)</w:t>
            </w:r>
          </w:p>
        </w:tc>
        <w:tc>
          <w:tcPr/>
          <w:p>
            <w:pPr>
              <w:pStyle w:val="Compact"/>
              <w:jc w:val="left"/>
            </w:pPr>
            <w:r>
              <w:t xml:space="preserve">EGP 30,520.00</w:t>
            </w:r>
          </w:p>
        </w:tc>
      </w:tr>
      <w:tr>
        <w:tc>
          <w:tcPr/>
          <w:p>
            <w:pPr>
              <w:pStyle w:val="Compact"/>
              <w:jc w:val="left"/>
            </w:pPr>
            <w:r>
              <w:t xml:space="preserve">Withholding Tax (10%)</w:t>
            </w:r>
          </w:p>
        </w:tc>
        <w:tc>
          <w:tcPr/>
          <w:p>
            <w:pPr>
              <w:pStyle w:val="Compact"/>
              <w:jc w:val="left"/>
            </w:pPr>
            <w:r>
              <w:t xml:space="preserve">EGP -21,800.00</w:t>
            </w:r>
          </w:p>
        </w:tc>
      </w:tr>
      <w:tr>
        <w:tc>
          <w:tcPr/>
          <w:p>
            <w:pPr>
              <w:pStyle w:val="Compact"/>
              <w:jc w:val="left"/>
            </w:pPr>
            <w:r>
              <w:t xml:space="preserve">Grand Total Due</w:t>
            </w:r>
          </w:p>
        </w:tc>
        <w:tc>
          <w:tcPr/>
          <w:p>
            <w:pPr>
              <w:pStyle w:val="Compact"/>
              <w:jc w:val="left"/>
            </w:pPr>
            <w:r>
              <w:t xml:space="preserve">EGP 226,720.00</w:t>
            </w:r>
          </w:p>
        </w:tc>
      </w:tr>
    </w:tbl>
    <w:bookmarkStart w:id="23" w:name="terms-conditions-notes"/>
    <w:p>
      <w:pPr>
        <w:pStyle w:val="Heading3"/>
      </w:pPr>
      <w:r>
        <w:t xml:space="preserve">Terms, Conditions &amp; Notes</w:t>
      </w:r>
    </w:p>
    <w:p>
      <w:pPr>
        <w:pStyle w:val="FirstParagraph"/>
      </w:pPr>
      <w:r>
        <w:rPr>
          <w:bCs/>
          <w:b/>
        </w:rPr>
        <w:t xml:space="preserve">1.</w:t>
      </w:r>
      <w:r>
        <w:t xml:space="preserve"> </w:t>
      </w:r>
      <w:r>
        <w:t xml:space="preserve">This Invoice is valid for payment within thirty (30) calendar days from the date of issue. Late payments shall accrue interest at the rate of 2% per month as stipulated under Egyptian commercial law applicable in Egypt Alexandria.</w:t>
      </w:r>
    </w:p>
    <w:p>
      <w:pPr>
        <w:pStyle w:val="BodyText"/>
      </w:pPr>
      <w:r>
        <w:rPr>
          <w:bCs/>
          <w:b/>
        </w:rPr>
        <w:t xml:space="preserve">2.</w:t>
      </w:r>
      <w:r>
        <w:t xml:space="preserve"> </w:t>
      </w:r>
      <w:r>
        <w:t xml:space="preserve">The Politician, Dr. Hassan Al-Mansouri, confirms that all services described in this Invoice were performed in full compliance with the Egyptian Municipal Governance Act (Law No. 43 of 1979, as amended) and the ethical code of conduct for elected officials in Egypt Alexandria.</w:t>
      </w:r>
    </w:p>
    <w:p>
      <w:pPr>
        <w:pStyle w:val="BodyText"/>
      </w:pPr>
      <w:r>
        <w:rPr>
          <w:bCs/>
          <w:b/>
        </w:rPr>
        <w:t xml:space="preserve">3.</w:t>
      </w:r>
      <w:r>
        <w:t xml:space="preserve"> </w:t>
      </w:r>
      <w:r>
        <w:t xml:space="preserve">Payment shall be made via bank transfer to the account specified above. Cheques must be drawn in favor of "Dr. Hassan Al-Mansouri – Alexandria Municipal Council." No cash payments are accepted for this Invoice.</w:t>
      </w:r>
    </w:p>
    <w:p>
      <w:pPr>
        <w:pStyle w:val="BodyText"/>
      </w:pPr>
      <w:r>
        <w:rPr>
          <w:bCs/>
          <w:b/>
        </w:rPr>
        <w:t xml:space="preserve">4.</w:t>
      </w:r>
      <w:r>
        <w:t xml:space="preserve"> </w:t>
      </w:r>
      <w:r>
        <w:t xml:space="preserve">All intellectual property, policy documents, and strategic materials produced under this engagement remain the joint property of the Politician and the Alexandria Coastal Development Authority, subject to the terms of Contract No. ACD-2025-POL-019.</w:t>
      </w:r>
    </w:p>
    <w:p>
      <w:pPr>
        <w:pStyle w:val="BodyText"/>
      </w:pPr>
      <w:r>
        <w:rPr>
          <w:bCs/>
          <w:b/>
        </w:rPr>
        <w:t xml:space="preserve">5.</w:t>
      </w:r>
      <w:r>
        <w:t xml:space="preserve"> </w:t>
      </w:r>
      <w:r>
        <w:t xml:space="preserve">This Invoice is subject to audit by the Egyptian Supreme Audit Authority (Yassa'bar) and the Alexandria Municipal Finance Office. The Politician agrees to provide supporting documentation upon request.</w:t>
      </w:r>
    </w:p>
    <w:p>
      <w:pPr>
        <w:pStyle w:val="BodyText"/>
      </w:pPr>
      <w:r>
        <w:rPr>
          <w:bCs/>
          <w:b/>
        </w:rPr>
        <w:t xml:space="preserve">6.</w:t>
      </w:r>
      <w:r>
        <w:t xml:space="preserve"> </w:t>
      </w:r>
      <w:r>
        <w:t xml:space="preserve">Any disputes arising from this Invoice shall be resolved through the competent courts in Egypt Alexandria, Republic of Egypt, in accordance with applicable Egyptian law.</w:t>
      </w:r>
    </w:p>
    <w:p>
      <w:pPr>
        <w:pStyle w:val="BodyText"/>
      </w:pPr>
      <w:r>
        <w:rPr>
          <w:bCs/>
          <w:b/>
        </w:rPr>
        <w:t xml:space="preserve">7.</w:t>
      </w:r>
      <w:r>
        <w:t xml:space="preserve"> </w:t>
      </w:r>
      <w:r>
        <w:t xml:space="preserve">This Invoice constitutes the final and complete settlement for all political advisory services rendered during the period of 1 January 2025 through 31 May 2025. No further charges shall be levied for the stated service period.</w:t>
      </w:r>
    </w:p>
    <w:bookmarkEnd w:id="23"/>
    <w:p>
      <w:pPr>
        <w:pStyle w:val="BodyText"/>
      </w:pPr>
      <w:r>
        <w:rPr>
          <w:bCs/>
          <w:b/>
        </w:rPr>
        <w:t xml:space="preserve">Authorized Signature:</w:t>
      </w:r>
      <w:r>
        <w:t xml:space="preserve"> </w:t>
      </w:r>
      <w:r>
        <w:t xml:space="preserve">Dr. Hassan Al-Mansouri, Politician &amp; Municipal Councillor, Egypt Alexandria</w:t>
      </w:r>
    </w:p>
    <w:p>
      <w:pPr>
        <w:pStyle w:val="BodyText"/>
      </w:pPr>
      <w:r>
        <w:t xml:space="preserve">Document generated in accordance with Egyptian tax and invoicing regulations. This Invoice is a legal financial document.</w:t>
      </w:r>
    </w:p>
    <w:p>
      <w:pPr>
        <w:pStyle w:val="BodyText"/>
      </w:pPr>
      <w:r>
        <w:t xml:space="preserve">© 2025 Alexandria Municipal Council – Egypt Alexandria, Republic of Egypt.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Advisory Services - Egypt Alexandria</dc:title>
  <dc:creator/>
  <dc:language>en</dc:language>
  <cp:keywords/>
  <dcterms:created xsi:type="dcterms:W3CDTF">2026-10-10T05:09:32Z</dcterms:created>
  <dcterms:modified xsi:type="dcterms:W3CDTF">2026-10-10T05:09:32Z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