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berlin-political-advisory-group-gmbh"/>
    <w:p>
      <w:pPr>
        <w:pStyle w:val="Heading1"/>
      </w:pPr>
      <w:r>
        <w:t xml:space="preserve">Berlin Political Advisory Group GmbH</w:t>
      </w:r>
    </w:p>
    <w:p>
      <w:pPr>
        <w:pStyle w:val="FirstParagraph"/>
      </w:pPr>
      <w:r>
        <w:t xml:space="preserve">Unter den Linden 42, 10117 Berlin, Germany</w:t>
      </w:r>
    </w:p>
    <w:p>
      <w:pPr>
        <w:pStyle w:val="BodyText"/>
      </w:pPr>
      <w:r>
        <w:t xml:space="preserve">Phone: +49 (0)30 555 78 200 | Email: billing@bpag-berlin.de</w:t>
      </w:r>
    </w:p>
    <w:p>
      <w:pPr>
        <w:pStyle w:val="BodyText"/>
      </w:pPr>
      <w:r>
        <w:t xml:space="preserve">USt-IdNr.: DE 312 456 789 | HRB 189 456 B, Amtsgericht Charlottenburg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BPA-2025-00487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t xml:space="preserve">Official Invoice</w:t>
      </w:r>
    </w:p>
    <w:bookmarkEnd w:id="21"/>
    <w:bookmarkStart w:id="22" w:name="billed-to-recipient"/>
    <w:p>
      <w:pPr>
        <w:pStyle w:val="Heading3"/>
      </w:pPr>
      <w:r>
        <w:t xml:space="preserve">Billed To (Recipient)</w:t>
      </w:r>
    </w:p>
    <w:p>
      <w:pPr>
        <w:pStyle w:val="FirstParagraph"/>
      </w:pPr>
      <w:r>
        <w:t xml:space="preserve">Dr. Katharina Vogel</w:t>
      </w:r>
    </w:p>
    <w:p>
      <w:pPr>
        <w:pStyle w:val="BodyText"/>
      </w:pPr>
      <w:r>
        <w:t xml:space="preserve">Member of the Berlin House of Representatives (Abgeordnete des Berliner Abgeordnetenhauses)</w:t>
      </w:r>
    </w:p>
    <w:p>
      <w:pPr>
        <w:pStyle w:val="BodyText"/>
      </w:pPr>
      <w:r>
        <w:t xml:space="preserve">Parlamentgebäude, Platz der Republik 1</w:t>
      </w:r>
    </w:p>
    <w:p>
      <w:pPr>
        <w:pStyle w:val="BodyText"/>
      </w:pPr>
      <w:r>
        <w:t xml:space="preserve">11011 Berlin, Germany</w:t>
      </w:r>
    </w:p>
    <w:p>
      <w:pPr>
        <w:pStyle w:val="BodyText"/>
      </w:pPr>
      <w:r>
        <w:rPr>
          <w:bCs/>
          <w:b/>
        </w:rPr>
        <w:t xml:space="preserve">Party Affiliation:</w:t>
      </w:r>
      <w:r>
        <w:t xml:space="preserve"> </w:t>
      </w:r>
      <w:r>
        <w:t xml:space="preserve">SPD Berlin</w:t>
      </w:r>
    </w:p>
    <w:p>
      <w:pPr>
        <w:pStyle w:val="BodyText"/>
      </w:pPr>
      <w:r>
        <w:rPr>
          <w:bCs/>
          <w:b/>
        </w:rPr>
        <w:t xml:space="preserve">Committee:</w:t>
      </w:r>
      <w:r>
        <w:t xml:space="preserve"> </w:t>
      </w:r>
      <w:r>
        <w:t xml:space="preserve">Committee for Urban Development and Housing Policy</w:t>
      </w:r>
    </w:p>
    <w:bookmarkEnd w:id="22"/>
    <w:bookmarkStart w:id="23" w:name="issued-by-service-provider"/>
    <w:p>
      <w:pPr>
        <w:pStyle w:val="Heading3"/>
      </w:pPr>
      <w:r>
        <w:t xml:space="preserve">Issued By (Service Provider)</w:t>
      </w:r>
    </w:p>
    <w:p>
      <w:pPr>
        <w:pStyle w:val="FirstParagraph"/>
      </w:pPr>
      <w:r>
        <w:t xml:space="preserve">Berlin Political Advisory Group GmbH</w:t>
      </w:r>
    </w:p>
    <w:p>
      <w:pPr>
        <w:pStyle w:val="BodyText"/>
      </w:pPr>
      <w:r>
        <w:t xml:space="preserve">Managing Director: Prof. Dr. Markus Steinbach</w:t>
      </w:r>
    </w:p>
    <w:p>
      <w:pPr>
        <w:pStyle w:val="BodyText"/>
      </w:pPr>
      <w:r>
        <w:t xml:space="preserve">Unter den Linden 42</w:t>
      </w:r>
    </w:p>
    <w:p>
      <w:pPr>
        <w:pStyle w:val="BodyText"/>
      </w:pPr>
      <w:r>
        <w:t xml:space="preserve">10117 Berlin, Germany</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bookmarkEnd w:id="23"/>
    <w:bookmarkStart w:id="24" w:name="X06b3e56bdb11a2b757fcf582b001c908a97c40c"/>
    <w:p>
      <w:pPr>
        <w:pStyle w:val="Heading3"/>
      </w:pPr>
      <w:r>
        <w:t xml:space="preserve">Invoice Description and Scope of Services</w:t>
      </w:r>
    </w:p>
    <w:p>
      <w:pPr>
        <w:pStyle w:val="FirstParagraph"/>
      </w:pPr>
      <w:r>
        <w:t xml:space="preserve">This invoice is issued by Berlin Political Advisory Group GmbH in accordance with the service agreement (Contract No. BPA/2025/KV/012) concluded on 1 February 2025 between the undersigned consulting firm and the Politician Dr. Katharina Vogel, serving as a member of the Berlin House of Representatives. The services rendered under this invoice pertain to professional political advisory, strategic communication, and policy research support provided to the Politician during the legislative session of the Berlin state parliament (Berliner Abgeordnetenhaus) for the period of March 2025 through June 2025. All services were performed in compliance with the German Political Parties Act (Parteiengesetz) and applicable regulations governing the financial transparency of elected officials in Germany Berlin.</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policy research and briefing preparation on housing reform legislation for the Politician's committee presentations at the Berlin House of Representatives</w:t>
            </w:r>
          </w:p>
        </w:tc>
        <w:tc>
          <w:tcPr/>
          <w:p>
            <w:pPr>
              <w:pStyle w:val="Compact"/>
              <w:jc w:val="left"/>
            </w:pPr>
            <w:r>
              <w:t xml:space="preserve">Mar 2025</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Media training and public speaking preparation for the Politician's press conferences and parliamentary debates in Germany Berlin</w:t>
            </w:r>
          </w:p>
        </w:tc>
        <w:tc>
          <w:tcPr/>
          <w:p>
            <w:pPr>
              <w:pStyle w:val="Compact"/>
              <w:jc w:val="left"/>
            </w:pPr>
            <w:r>
              <w:t xml:space="preserve">Mar–Apr 2025</w:t>
            </w:r>
          </w:p>
        </w:tc>
        <w:tc>
          <w:tcPr/>
          <w:p>
            <w:pPr>
              <w:pStyle w:val="Compact"/>
              <w:jc w:val="left"/>
            </w:pPr>
            <w:r>
              <w:t xml:space="preserve">32</w:t>
            </w:r>
          </w:p>
        </w:tc>
        <w:tc>
          <w:tcPr/>
          <w:p>
            <w:pPr>
              <w:pStyle w:val="Compact"/>
              <w:jc w:val="left"/>
            </w:pPr>
            <w:r>
              <w:t xml:space="preserve">210.00</w:t>
            </w:r>
          </w:p>
        </w:tc>
        <w:tc>
          <w:tcPr/>
          <w:p>
            <w:pPr>
              <w:pStyle w:val="Compact"/>
              <w:jc w:val="left"/>
            </w:pPr>
            <w:r>
              <w:t xml:space="preserve">6,720.00</w:t>
            </w:r>
          </w:p>
        </w:tc>
      </w:tr>
      <w:tr>
        <w:tc>
          <w:tcPr/>
          <w:p>
            <w:pPr>
              <w:pStyle w:val="Compact"/>
              <w:jc w:val="left"/>
            </w:pPr>
            <w:r>
              <w:t xml:space="preserve">03</w:t>
            </w:r>
          </w:p>
        </w:tc>
        <w:tc>
          <w:tcPr/>
          <w:p>
            <w:pPr>
              <w:pStyle w:val="Compact"/>
              <w:jc w:val="left"/>
            </w:pPr>
            <w:r>
              <w:t xml:space="preserve">Drafting and revision of legislative proposals, parliamentary questions, and policy position papers on behalf of the Politician</w:t>
            </w:r>
          </w:p>
        </w:tc>
        <w:tc>
          <w:tcPr/>
          <w:p>
            <w:pPr>
              <w:pStyle w:val="Compact"/>
              <w:jc w:val="left"/>
            </w:pPr>
            <w:r>
              <w:t xml:space="preserve">Apr 2025</w:t>
            </w:r>
          </w:p>
        </w:tc>
        <w:tc>
          <w:tcPr/>
          <w:p>
            <w:pPr>
              <w:pStyle w:val="Compact"/>
              <w:jc w:val="left"/>
            </w:pPr>
            <w:r>
              <w:t xml:space="preserve">56</w:t>
            </w:r>
          </w:p>
        </w:tc>
        <w:tc>
          <w:tcPr/>
          <w:p>
            <w:pPr>
              <w:pStyle w:val="Compact"/>
              <w:jc w:val="left"/>
            </w:pPr>
            <w:r>
              <w:t xml:space="preserve">175.00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Stakeholder coordination and constituent engagement strategy development for the Politician's district office operations in Berlin</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195.00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Event planning and execution support for the Politician's public town hall meeting and policy forum held at the Berlin Congress Center</w:t>
            </w:r>
          </w:p>
        </w:tc>
        <w:tc>
          <w:tcPr/>
          <w:p>
            <w:pPr>
              <w:pStyle w:val="Compact"/>
              <w:jc w:val="left"/>
            </w:pPr>
            <w:r>
              <w:t xml:space="preserve">Jun 2025</w:t>
            </w:r>
          </w:p>
        </w:tc>
        <w:tc>
          <w:tcPr/>
          <w:p>
            <w:pPr>
              <w:pStyle w:val="Compact"/>
              <w:jc w:val="left"/>
            </w:pPr>
            <w:r>
              <w:t xml:space="preserve">24</w:t>
            </w:r>
          </w:p>
        </w:tc>
        <w:tc>
          <w:tcPr/>
          <w:p>
            <w:pPr>
              <w:pStyle w:val="Compact"/>
              <w:jc w:val="left"/>
            </w:pPr>
            <w:r>
              <w:t xml:space="preserve">220.00</w:t>
            </w:r>
          </w:p>
        </w:tc>
        <w:tc>
          <w:tcPr/>
          <w:p>
            <w:pPr>
              <w:pStyle w:val="Compact"/>
              <w:jc w:val="left"/>
            </w:pPr>
            <w:r>
              <w:t xml:space="preserve">5,280.00</w:t>
            </w:r>
          </w:p>
        </w:tc>
      </w:tr>
      <w:tr>
        <w:tc>
          <w:tcPr/>
          <w:p>
            <w:pPr>
              <w:pStyle w:val="Compact"/>
              <w:jc w:val="left"/>
            </w:pPr>
            <w:r>
              <w:t xml:space="preserve">06</w:t>
            </w:r>
          </w:p>
        </w:tc>
        <w:tc>
          <w:tcPr/>
          <w:p>
            <w:pPr>
              <w:pStyle w:val="Compact"/>
              <w:jc w:val="left"/>
            </w:pPr>
            <w:r>
              <w:t xml:space="preserve">Quarterly financial compliance review and transparency reporting assistance in accordance with German political finance regulations</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41,680.00 EUR</w:t>
            </w:r>
          </w:p>
        </w:tc>
      </w:tr>
      <w:tr>
        <w:tc>
          <w:tcPr/>
          <w:p>
            <w:pPr>
              <w:pStyle w:val="Compact"/>
              <w:jc w:val="left"/>
            </w:pPr>
            <w:r>
              <w:t xml:space="preserve">VAT (USt) 19%</w:t>
            </w:r>
          </w:p>
        </w:tc>
        <w:tc>
          <w:tcPr/>
          <w:p>
            <w:pPr>
              <w:pStyle w:val="Compact"/>
              <w:jc w:val="left"/>
            </w:pPr>
            <w:r>
              <w:t xml:space="preserve">7,919.20 EUR</w:t>
            </w:r>
          </w:p>
        </w:tc>
      </w:tr>
      <w:tr>
        <w:tc>
          <w:tcPr/>
          <w:p>
            <w:pPr>
              <w:pStyle w:val="Compact"/>
              <w:jc w:val="left"/>
            </w:pPr>
            <w:r>
              <w:t xml:space="preserve">Total Amount Due</w:t>
            </w:r>
          </w:p>
        </w:tc>
        <w:tc>
          <w:tcPr/>
          <w:p>
            <w:pPr>
              <w:pStyle w:val="Compact"/>
              <w:jc w:val="left"/>
            </w:pPr>
            <w:r>
              <w:t xml:space="preserve">49,599.20 EUR</w:t>
            </w:r>
          </w:p>
        </w:tc>
      </w:tr>
    </w:tbl>
    <w:bookmarkStart w:id="25" w:name="payment-details"/>
    <w:p>
      <w:pPr>
        <w:pStyle w:val="Heading3"/>
      </w:pPr>
      <w:r>
        <w:t xml:space="preserve">Payment Details</w:t>
      </w:r>
    </w:p>
    <w:p>
      <w:pPr>
        <w:pStyle w:val="FirstParagraph"/>
      </w:pPr>
      <w:r>
        <w:rPr>
          <w:bCs/>
          <w:b/>
        </w:rPr>
        <w:t xml:space="preserve">Bank:</w:t>
      </w:r>
      <w:r>
        <w:t xml:space="preserve"> </w:t>
      </w:r>
      <w:r>
        <w:t xml:space="preserve">Commerzbank AG, Berlin Branch</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w:t>
      </w:r>
    </w:p>
    <w:p>
      <w:pPr>
        <w:pStyle w:val="BodyText"/>
      </w:pPr>
      <w:r>
        <w:rPr>
          <w:bCs/>
          <w:b/>
        </w:rPr>
        <w:t xml:space="preserve">Reference:</w:t>
      </w:r>
      <w:r>
        <w:t xml:space="preserve"> </w:t>
      </w:r>
      <w:r>
        <w:t xml:space="preserve">BPA-2025-00487 / Dr. K. Vogel</w:t>
      </w:r>
    </w:p>
    <w:p>
      <w:pPr>
        <w:pStyle w:val="BodyText"/>
      </w:pPr>
      <w:r>
        <w:rPr>
          <w:bCs/>
          <w:b/>
        </w:rPr>
        <w:t xml:space="preserve">Method:</w:t>
      </w:r>
      <w:r>
        <w:t xml:space="preserve"> </w:t>
      </w:r>
      <w:r>
        <w:t xml:space="preserve">SEPA Bank Transfer (Überweisung)</w:t>
      </w:r>
    </w:p>
    <w:bookmarkEnd w:id="25"/>
    <w:bookmarkStart w:id="26" w:name="important-notices"/>
    <w:p>
      <w:pPr>
        <w:pStyle w:val="Heading3"/>
      </w:pPr>
      <w:r>
        <w:t xml:space="preserve">Important Notices</w:t>
      </w:r>
    </w:p>
    <w:p>
      <w:pPr>
        <w:pStyle w:val="FirstParagraph"/>
      </w:pPr>
      <w:r>
        <w:t xml:space="preserve">This invoice must be settled within 30 calendar days of the issue date. Late payments are subject to statutory interest at 8% above the European Central Bank base rate as per § 288 BGB.</w:t>
      </w:r>
    </w:p>
    <w:p>
      <w:pPr>
        <w:pStyle w:val="BodyText"/>
      </w:pPr>
      <w:r>
        <w:t xml:space="preserve">All services provided to the Politician are subject to the transparency requirements of the German Political Parties Act and must be reported to the relevant oversight body in Berlin.</w:t>
      </w:r>
    </w:p>
    <w:bookmarkEnd w:id="26"/>
    <w:bookmarkStart w:id="27" w:name="X6be3b37535765509ca1bdeddaf57a54ed3c01e0"/>
    <w:p>
      <w:pPr>
        <w:pStyle w:val="Heading3"/>
      </w:pPr>
      <w:r>
        <w:t xml:space="preserve">Additional Invoice Notes and Legal Declarations</w:t>
      </w:r>
    </w:p>
    <w:p>
      <w:pPr>
        <w:pStyle w:val="FirstParagraph"/>
      </w:pPr>
      <w:r>
        <w:t xml:space="preserve">1. This invoice is issued in accordance with § 14 of the German Value Added Tax Act (UStG) and § 25a of the German Tax Code (AO). The Politician named herein has authorized the release of this invoice for parliamentary financial disclosure purposes.</w:t>
      </w:r>
    </w:p>
    <w:p>
      <w:pPr>
        <w:pStyle w:val="BodyText"/>
      </w:pPr>
      <w:r>
        <w:t xml:space="preserve">2. All consulting services described in this invoice were performed exclusively for the Politician in her official capacity as a member of the Berlin House of Representatives. No portion of the fees listed herein constitutes a political donation or campaign contribution as defined under the German Political Parties Act (PartG).</w:t>
      </w:r>
    </w:p>
    <w:p>
      <w:pPr>
        <w:pStyle w:val="BodyText"/>
      </w:pPr>
      <w:r>
        <w:t xml:space="preserve">3. The Politician acknowledges receipt of this invoice and confirms that the services rendered align with the scope defined in the master service agreement. Any disputes regarding the items listed on this invoice must be raised in writing within 14 days of receipt.</w:t>
      </w:r>
    </w:p>
    <w:p>
      <w:pPr>
        <w:pStyle w:val="BodyText"/>
      </w:pPr>
      <w:r>
        <w:t xml:space="preserve">4. This document constitutes a legally binding invoice under German commercial law (HGB) and is valid for tax deduction purposes. A duplicate copy may be requested from the billing department of Berlin Political Advisory Group GmbH.</w:t>
      </w:r>
    </w:p>
    <w:p>
      <w:pPr>
        <w:pStyle w:val="BodyText"/>
      </w:pPr>
      <w:r>
        <w:t xml:space="preserve">5. The Politician's parliamentary office in Germany Berlin is the designated point of contact for any questions regarding this invoice or the services provided. All correspondence should reference Invoice No. BPA-2025-00487.</w:t>
      </w:r>
    </w:p>
    <w:bookmarkEnd w:id="27"/>
    <w:p>
      <w:pPr>
        <w:pStyle w:val="BodyText"/>
      </w:pPr>
      <w:r>
        <w:rPr>
          <w:bCs/>
          <w:b/>
        </w:rPr>
        <w:t xml:space="preserve">Berlin Political Advisory Group GmbH</w:t>
      </w:r>
      <w:r>
        <w:t xml:space="preserve"> </w:t>
      </w:r>
      <w:r>
        <w:t xml:space="preserve">| Unter den Linden 42, 10117 Berlin, Germany</w:t>
      </w:r>
    </w:p>
    <w:p>
      <w:pPr>
        <w:pStyle w:val="BodyText"/>
      </w:pPr>
      <w:r>
        <w:t xml:space="preserve">Managing Director: Prof. Dr. Markus Steinbach | USt-IdNr.: DE 312 456 789 | HRB 189 456 B</w:t>
      </w:r>
    </w:p>
    <w:p>
      <w:pPr>
        <w:pStyle w:val="BodyText"/>
      </w:pPr>
      <w:r>
        <w:t xml:space="preserve">This invoice was generated electronically and is valid without a physical signature pursuant to § 14 Abs. 4 UStG.</w:t>
      </w:r>
    </w:p>
    <w:p>
      <w:pPr>
        <w:pStyle w:val="BodyText"/>
      </w:pPr>
      <w:r>
        <w:t xml:space="preserve">Page 1 of 1 | Document ID: BPA-INV-2025-00487 | Generated: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Berlin, Germany</dc:title>
  <dc:creator/>
  <dc:language>en</dc:language>
  <cp:keywords/>
  <dcterms:created xsi:type="dcterms:W3CDTF">2026-10-10T03:44:19Z</dcterms:created>
  <dcterms:modified xsi:type="dcterms:W3CDTF">2026-10-10T03:44:19Z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