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Political Consulting &amp; Campaign Advisory Services</w:t>
      </w:r>
    </w:p>
    <w:p>
      <w:pPr>
        <w:pStyle w:val="BodyText"/>
      </w:pPr>
      <w:r>
        <w:t xml:space="preserve">Official Invoice – Iran Tehran</w:t>
      </w:r>
    </w:p>
    <w:bookmarkStart w:id="20" w:name="invoice-number"/>
    <w:p>
      <w:pPr>
        <w:pStyle w:val="Heading3"/>
      </w:pPr>
      <w:r>
        <w:t xml:space="preserve">Invoice Number:</w:t>
      </w:r>
    </w:p>
    <w:p>
      <w:pPr>
        <w:pStyle w:val="FirstParagraph"/>
      </w:pPr>
      <w:r>
        <w:t xml:space="preserve">INV-IRN-THR-2025-04871</w:t>
      </w:r>
    </w:p>
    <w:bookmarkEnd w:id="20"/>
    <w:bookmarkStart w:id="21" w:name="issue-date"/>
    <w:p>
      <w:pPr>
        <w:pStyle w:val="Heading3"/>
      </w:pPr>
      <w:r>
        <w:t xml:space="preserve">Issue Date:</w:t>
      </w:r>
    </w:p>
    <w:p>
      <w:pPr>
        <w:pStyle w:val="FirstParagraph"/>
      </w:pPr>
      <w:r>
        <w:t xml:space="preserve">15 Farvardin 1404 (March 5, 2025)</w:t>
      </w:r>
    </w:p>
    <w:bookmarkEnd w:id="21"/>
    <w:bookmarkStart w:id="22" w:name="due-date"/>
    <w:p>
      <w:pPr>
        <w:pStyle w:val="Heading3"/>
      </w:pPr>
      <w:r>
        <w:t xml:space="preserve">Due Date:</w:t>
      </w:r>
    </w:p>
    <w:p>
      <w:pPr>
        <w:pStyle w:val="FirstParagraph"/>
      </w:pPr>
      <w:r>
        <w:t xml:space="preserve">30 Farvardin 1404 (March 20, 2025)</w:t>
      </w:r>
    </w:p>
    <w:bookmarkEnd w:id="22"/>
    <w:bookmarkStart w:id="23" w:name="payment-terms"/>
    <w:p>
      <w:pPr>
        <w:pStyle w:val="Heading3"/>
      </w:pPr>
      <w:r>
        <w:t xml:space="preserve">Payment Terms:</w:t>
      </w:r>
    </w:p>
    <w:p>
      <w:pPr>
        <w:pStyle w:val="FirstParagraph"/>
      </w:pPr>
      <w:r>
        <w:t xml:space="preserve">Net 15 Days</w:t>
      </w:r>
    </w:p>
    <w:bookmarkEnd w:id="23"/>
    <w:bookmarkStart w:id="24" w:name="issued-by-service-provider"/>
    <w:p>
      <w:pPr>
        <w:pStyle w:val="Heading4"/>
      </w:pPr>
      <w:r>
        <w:t xml:space="preserve">Issued By (Service Provider)</w:t>
      </w:r>
    </w:p>
    <w:p>
      <w:pPr>
        <w:pStyle w:val="FirstParagraph"/>
      </w:pPr>
      <w:r>
        <w:rPr>
          <w:bCs/>
          <w:b/>
        </w:rPr>
        <w:t xml:space="preserve">Company:</w:t>
      </w:r>
      <w:r>
        <w:t xml:space="preserve"> </w:t>
      </w:r>
      <w:r>
        <w:t xml:space="preserve">Tehran Political Strategy &amp; Advisory Group</w:t>
      </w:r>
    </w:p>
    <w:p>
      <w:pPr>
        <w:pStyle w:val="BodyText"/>
      </w:pPr>
      <w:r>
        <w:rPr>
          <w:bCs/>
          <w:b/>
        </w:rPr>
        <w:t xml:space="preserve">Address:</w:t>
      </w:r>
      <w:r>
        <w:t xml:space="preserve"> </w:t>
      </w:r>
      <w:r>
        <w:t xml:space="preserve">No. 42, Vali-Asr Street, 11th Floor, Tehran, Iran</w:t>
      </w:r>
    </w:p>
    <w:p>
      <w:pPr>
        <w:pStyle w:val="BodyText"/>
      </w:pPr>
      <w:r>
        <w:rPr>
          <w:bCs/>
          <w:b/>
        </w:rPr>
        <w:t xml:space="preserve">Contact:</w:t>
      </w:r>
      <w:r>
        <w:t xml:space="preserve"> </w:t>
      </w:r>
      <w:r>
        <w:t xml:space="preserve">+98-21-8876-5432</w:t>
      </w:r>
    </w:p>
    <w:p>
      <w:pPr>
        <w:pStyle w:val="BodyText"/>
      </w:pPr>
      <w:r>
        <w:rPr>
          <w:bCs/>
          <w:b/>
        </w:rPr>
        <w:t xml:space="preserve">Email:</w:t>
      </w:r>
      <w:r>
        <w:t xml:space="preserve"> </w:t>
      </w:r>
      <w:r>
        <w:t xml:space="preserve">billing@tehranpoliticalstrategy.ir</w:t>
      </w:r>
    </w:p>
    <w:p>
      <w:pPr>
        <w:pStyle w:val="BodyText"/>
      </w:pPr>
      <w:r>
        <w:rPr>
          <w:bCs/>
          <w:b/>
        </w:rPr>
        <w:t xml:space="preserve">Tax Registration:</w:t>
      </w:r>
      <w:r>
        <w:t xml:space="preserve"> </w:t>
      </w:r>
      <w:r>
        <w:t xml:space="preserve">IRN-THR-88421-0037</w:t>
      </w:r>
    </w:p>
    <w:p>
      <w:pPr>
        <w:pStyle w:val="BodyText"/>
      </w:pPr>
      <w:r>
        <w:rPr>
          <w:bCs/>
          <w:b/>
        </w:rPr>
        <w:t xml:space="preserve">License No.:</w:t>
      </w:r>
      <w:r>
        <w:t xml:space="preserve"> </w:t>
      </w:r>
      <w:r>
        <w:t xml:space="preserve">PSC-2019-TEHRAN-0042</w:t>
      </w:r>
    </w:p>
    <w:bookmarkEnd w:id="24"/>
    <w:bookmarkStart w:id="25" w:name="issued-to-client-politician"/>
    <w:p>
      <w:pPr>
        <w:pStyle w:val="Heading4"/>
      </w:pPr>
      <w:r>
        <w:t xml:space="preserve">Issued To (Client / Politician)</w:t>
      </w:r>
    </w:p>
    <w:p>
      <w:pPr>
        <w:pStyle w:val="FirstParagraph"/>
      </w:pPr>
      <w:r>
        <w:rPr>
          <w:bCs/>
          <w:b/>
        </w:rPr>
        <w:t xml:space="preserve">Name:</w:t>
      </w:r>
      <w:r>
        <w:t xml:space="preserve"> </w:t>
      </w:r>
      <w:r>
        <w:t xml:space="preserve">Hon. Dr. Mohammad Reza Karimi</w:t>
      </w:r>
    </w:p>
    <w:p>
      <w:pPr>
        <w:pStyle w:val="BodyText"/>
      </w:pPr>
      <w:r>
        <w:rPr>
          <w:bCs/>
          <w:b/>
        </w:rPr>
        <w:t xml:space="preserve">Title:</w:t>
      </w:r>
      <w:r>
        <w:t xml:space="preserve"> </w:t>
      </w:r>
      <w:r>
        <w:t xml:space="preserve">Politician – Member of the Islamic Consultative Assembly</w:t>
      </w:r>
    </w:p>
    <w:p>
      <w:pPr>
        <w:pStyle w:val="BodyText"/>
      </w:pPr>
      <w:r>
        <w:rPr>
          <w:bCs/>
          <w:b/>
        </w:rPr>
        <w:t xml:space="preserve">Office:</w:t>
      </w:r>
      <w:r>
        <w:t xml:space="preserve"> </w:t>
      </w:r>
      <w:r>
        <w:t xml:space="preserve">Parliament Building, Enghelab Square, Tehran, Iran</w:t>
      </w:r>
    </w:p>
    <w:p>
      <w:pPr>
        <w:pStyle w:val="BodyText"/>
      </w:pPr>
      <w:r>
        <w:rPr>
          <w:bCs/>
          <w:b/>
        </w:rPr>
        <w:t xml:space="preserve">Contact:</w:t>
      </w:r>
      <w:r>
        <w:t xml:space="preserve"> </w:t>
      </w:r>
      <w:r>
        <w:t xml:space="preserve">+98-21-6654-3210</w:t>
      </w:r>
    </w:p>
    <w:p>
      <w:pPr>
        <w:pStyle w:val="BodyText"/>
      </w:pPr>
      <w:r>
        <w:rPr>
          <w:bCs/>
          <w:b/>
        </w:rPr>
        <w:t xml:space="preserve">Email:</w:t>
      </w:r>
      <w:r>
        <w:t xml:space="preserve"> </w:t>
      </w:r>
      <w:r>
        <w:t xml:space="preserve">office.karimi@parliament.ir</w:t>
      </w:r>
    </w:p>
    <w:p>
      <w:pPr>
        <w:pStyle w:val="BodyText"/>
      </w:pPr>
      <w:r>
        <w:rPr>
          <w:bCs/>
          <w:b/>
        </w:rPr>
        <w:t xml:space="preserve">Client ID:</w:t>
      </w:r>
      <w:r>
        <w:t xml:space="preserve"> </w:t>
      </w:r>
      <w:r>
        <w:t xml:space="preserve">CLT-POL-THR-2024-0198</w:t>
      </w:r>
    </w:p>
    <w:bookmarkEnd w:id="25"/>
    <w:bookmarkStart w:id="27" w:name="X9ab0ab9c301419856d173378d97cab768254c58"/>
    <w:p>
      <w:pPr>
        <w:pStyle w:val="Heading3"/>
      </w:pPr>
      <w:r>
        <w:t xml:space="preserve">Invoice Line Items – Services Rendered to the Politician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Location</w:t>
            </w:r>
          </w:p>
        </w:tc>
        <w:tc>
          <w:tcPr/>
          <w:p>
            <w:pPr>
              <w:pStyle w:val="Compact"/>
              <w:jc w:val="left"/>
            </w:pPr>
            <w:r>
              <w:t xml:space="preserve">Hours / Units</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01</w:t>
            </w:r>
          </w:p>
        </w:tc>
        <w:tc>
          <w:tcPr/>
          <w:p>
            <w:pPr>
              <w:pStyle w:val="Compact"/>
              <w:jc w:val="left"/>
            </w:pPr>
            <w:r>
              <w:t xml:space="preserve">Strategic political campaign planning and voter engagement analysis for the Politician's re-election bid in the Tehran metropolitan district</w:t>
            </w:r>
          </w:p>
        </w:tc>
        <w:tc>
          <w:tcPr/>
          <w:p>
            <w:pPr>
              <w:pStyle w:val="Compact"/>
              <w:jc w:val="left"/>
            </w:pPr>
            <w:r>
              <w:t xml:space="preserve">Jan – Feb 2025, Tehran</w:t>
            </w:r>
          </w:p>
        </w:tc>
        <w:tc>
          <w:tcPr/>
          <w:p>
            <w:pPr>
              <w:pStyle w:val="Compact"/>
              <w:jc w:val="left"/>
            </w:pPr>
            <w:r>
              <w:t xml:space="preserve">120 hrs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Media relations management and press conference coordination for the Politician across national and regional outlets in Iran Tehran</w:t>
            </w:r>
          </w:p>
        </w:tc>
        <w:tc>
          <w:tcPr/>
          <w:p>
            <w:pPr>
              <w:pStyle w:val="Compact"/>
              <w:jc w:val="left"/>
            </w:pPr>
            <w:r>
              <w:t xml:space="preserve">Feb 2025, Tehran</w:t>
            </w:r>
          </w:p>
        </w:tc>
        <w:tc>
          <w:tcPr/>
          <w:p>
            <w:pPr>
              <w:pStyle w:val="Compact"/>
              <w:jc w:val="left"/>
            </w:pPr>
            <w:r>
              <w:t xml:space="preserve">45 hrs</w:t>
            </w:r>
          </w:p>
        </w:tc>
        <w:tc>
          <w:tcPr/>
          <w:p>
            <w:pPr>
              <w:pStyle w:val="Compact"/>
              <w:jc w:val="left"/>
            </w:pPr>
            <w:r>
              <w:t xml:space="preserve">920,000</w:t>
            </w:r>
          </w:p>
        </w:tc>
        <w:tc>
          <w:tcPr/>
          <w:p>
            <w:pPr>
              <w:pStyle w:val="Compact"/>
              <w:jc w:val="left"/>
            </w:pPr>
            <w:r>
              <w:t xml:space="preserve">41,400,000</w:t>
            </w:r>
          </w:p>
        </w:tc>
      </w:tr>
      <w:tr>
        <w:tc>
          <w:tcPr/>
          <w:p>
            <w:pPr>
              <w:pStyle w:val="Compact"/>
              <w:jc w:val="left"/>
            </w:pPr>
            <w:r>
              <w:t xml:space="preserve">03</w:t>
            </w:r>
          </w:p>
        </w:tc>
        <w:tc>
          <w:tcPr/>
          <w:p>
            <w:pPr>
              <w:pStyle w:val="Compact"/>
              <w:jc w:val="left"/>
            </w:pPr>
            <w:r>
              <w:t xml:space="preserve">Policy research and legislative briefing preparation supporting the Politician's committee work on economic reform</w:t>
            </w:r>
          </w:p>
        </w:tc>
        <w:tc>
          <w:tcPr/>
          <w:p>
            <w:pPr>
              <w:pStyle w:val="Compact"/>
              <w:jc w:val="left"/>
            </w:pPr>
            <w:r>
              <w:t xml:space="preserve">Jan – Mar 2025, Tehran</w:t>
            </w:r>
          </w:p>
        </w:tc>
        <w:tc>
          <w:tcPr/>
          <w:p>
            <w:pPr>
              <w:pStyle w:val="Compact"/>
              <w:jc w:val="left"/>
            </w:pPr>
            <w:r>
              <w:t xml:space="preserve">80 hrs</w:t>
            </w:r>
          </w:p>
        </w:tc>
        <w:tc>
          <w:tcPr/>
          <w:p>
            <w:pPr>
              <w:pStyle w:val="Compact"/>
              <w:jc w:val="left"/>
            </w:pPr>
            <w:r>
              <w:t xml:space="preserve">780,000</w:t>
            </w:r>
          </w:p>
        </w:tc>
        <w:tc>
          <w:tcPr/>
          <w:p>
            <w:pPr>
              <w:pStyle w:val="Compact"/>
              <w:jc w:val="left"/>
            </w:pPr>
            <w:r>
              <w:t xml:space="preserve">62,400,000</w:t>
            </w:r>
          </w:p>
        </w:tc>
      </w:tr>
      <w:tr>
        <w:tc>
          <w:tcPr/>
          <w:p>
            <w:pPr>
              <w:pStyle w:val="Compact"/>
              <w:jc w:val="left"/>
            </w:pPr>
            <w:r>
              <w:t xml:space="preserve">04</w:t>
            </w:r>
          </w:p>
        </w:tc>
        <w:tc>
          <w:tcPr/>
          <w:p>
            <w:pPr>
              <w:pStyle w:val="Compact"/>
              <w:jc w:val="left"/>
            </w:pPr>
            <w:r>
              <w:t xml:space="preserve">Digital communication strategy, social media content development, and public opinion polling for the Politician's constituency in Iran Tehran</w:t>
            </w:r>
          </w:p>
        </w:tc>
        <w:tc>
          <w:tcPr/>
          <w:p>
            <w:pPr>
              <w:pStyle w:val="Compact"/>
              <w:jc w:val="left"/>
            </w:pPr>
            <w:r>
              <w:t xml:space="preserve">Feb – Mar 2025, Tehran</w:t>
            </w:r>
          </w:p>
        </w:tc>
        <w:tc>
          <w:tcPr/>
          <w:p>
            <w:pPr>
              <w:pStyle w:val="Compact"/>
              <w:jc w:val="left"/>
            </w:pPr>
            <w:r>
              <w:t xml:space="preserve">60 hrs</w:t>
            </w:r>
          </w:p>
        </w:tc>
        <w:tc>
          <w:tcPr/>
          <w:p>
            <w:pPr>
              <w:pStyle w:val="Compact"/>
              <w:jc w:val="left"/>
            </w:pPr>
            <w:r>
              <w:t xml:space="preserve">700,000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Constituent outreach program design and community event logistics for the Politician's district office in Tehran</w:t>
            </w:r>
          </w:p>
        </w:tc>
        <w:tc>
          <w:tcPr/>
          <w:p>
            <w:pPr>
              <w:pStyle w:val="Compact"/>
              <w:jc w:val="left"/>
            </w:pPr>
            <w:r>
              <w:t xml:space="preserve">Mar 2025, Tehran</w:t>
            </w:r>
          </w:p>
        </w:tc>
        <w:tc>
          <w:tcPr/>
          <w:p>
            <w:pPr>
              <w:pStyle w:val="Compact"/>
              <w:jc w:val="left"/>
            </w:pPr>
            <w:r>
              <w:t xml:space="preserve">30 hrs</w:t>
            </w:r>
          </w:p>
        </w:tc>
        <w:tc>
          <w:tcPr/>
          <w:p>
            <w:pPr>
              <w:pStyle w:val="Compact"/>
              <w:jc w:val="left"/>
            </w:pPr>
            <w:r>
              <w:t xml:space="preserve">650,000</w:t>
            </w:r>
          </w:p>
        </w:tc>
        <w:tc>
          <w:tcPr/>
          <w:p>
            <w:pPr>
              <w:pStyle w:val="Compact"/>
              <w:jc w:val="left"/>
            </w:pPr>
            <w:r>
              <w:t xml:space="preserve">19,500,000</w:t>
            </w:r>
          </w:p>
        </w:tc>
      </w:tr>
      <w:tr>
        <w:tc>
          <w:tcPr/>
          <w:p>
            <w:pPr>
              <w:pStyle w:val="Compact"/>
              <w:jc w:val="left"/>
            </w:pPr>
            <w:r>
              <w:t xml:space="preserve">06</w:t>
            </w:r>
          </w:p>
        </w:tc>
        <w:tc>
          <w:tcPr/>
          <w:p>
            <w:pPr>
              <w:pStyle w:val="Compact"/>
              <w:jc w:val="left"/>
            </w:pPr>
            <w:r>
              <w:t xml:space="preserve">Legal compliance review and regulatory advisory for the Politician's campaign finance reporting under Iranian electoral law</w:t>
            </w:r>
          </w:p>
        </w:tc>
        <w:tc>
          <w:tcPr/>
          <w:p>
            <w:pPr>
              <w:pStyle w:val="Compact"/>
              <w:jc w:val="left"/>
            </w:pPr>
            <w:r>
              <w:t xml:space="preserve">Mar 2025, Tehran</w:t>
            </w:r>
          </w:p>
        </w:tc>
        <w:tc>
          <w:tcPr/>
          <w:p>
            <w:pPr>
              <w:pStyle w:val="Compact"/>
              <w:jc w:val="left"/>
            </w:pPr>
            <w:r>
              <w:t xml:space="preserve">20 hrs</w:t>
            </w:r>
          </w:p>
        </w:tc>
        <w:tc>
          <w:tcPr/>
          <w:p>
            <w:pPr>
              <w:pStyle w:val="Compact"/>
              <w:jc w:val="left"/>
            </w:pPr>
            <w:r>
              <w:t xml:space="preserve">1,100,000</w:t>
            </w:r>
          </w:p>
        </w:tc>
        <w:tc>
          <w:tcPr/>
          <w:p>
            <w:pPr>
              <w:pStyle w:val="Compact"/>
              <w:jc w:val="left"/>
            </w:pPr>
            <w:r>
              <w:t xml:space="preserve">22,000,000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289,300,000 IRR</w:t>
            </w:r>
          </w:p>
        </w:tc>
      </w:tr>
      <w:tr>
        <w:tc>
          <w:tcPr/>
          <w:p>
            <w:pPr>
              <w:pStyle w:val="Compact"/>
              <w:jc w:val="left"/>
            </w:pPr>
            <w:r>
              <w:t xml:space="preserve">VAT (10%)</w:t>
            </w:r>
          </w:p>
        </w:tc>
        <w:tc>
          <w:tcPr/>
          <w:p>
            <w:pPr>
              <w:pStyle w:val="Compact"/>
              <w:jc w:val="left"/>
            </w:pPr>
            <w:r>
              <w:t xml:space="preserve">28,930,000 IRR</w:t>
            </w:r>
          </w:p>
        </w:tc>
      </w:tr>
      <w:tr>
        <w:tc>
          <w:tcPr/>
          <w:p>
            <w:pPr>
              <w:pStyle w:val="Compact"/>
              <w:jc w:val="left"/>
            </w:pPr>
            <w:r>
              <w:t xml:space="preserve">Service Surcharge (5%)</w:t>
            </w:r>
          </w:p>
        </w:tc>
        <w:tc>
          <w:tcPr/>
          <w:p>
            <w:pPr>
              <w:pStyle w:val="Compact"/>
              <w:jc w:val="left"/>
            </w:pPr>
            <w:r>
              <w:t xml:space="preserve">14,465,000 IRR</w:t>
            </w:r>
          </w:p>
        </w:tc>
      </w:tr>
      <w:tr>
        <w:tc>
          <w:tcPr/>
          <w:p>
            <w:pPr>
              <w:pStyle w:val="Compact"/>
              <w:jc w:val="left"/>
            </w:pPr>
            <w:r>
              <w:t xml:space="preserve">Discount – Long-term Politician Client (3%)</w:t>
            </w:r>
          </w:p>
        </w:tc>
        <w:tc>
          <w:tcPr/>
          <w:p>
            <w:pPr>
              <w:pStyle w:val="Compact"/>
              <w:jc w:val="left"/>
            </w:pPr>
            <w:r>
              <w:t xml:space="preserve">-8,679,000 IRR</w:t>
            </w:r>
          </w:p>
        </w:tc>
      </w:tr>
      <w:tr>
        <w:tc>
          <w:tcPr/>
          <w:p>
            <w:pPr>
              <w:pStyle w:val="Compact"/>
              <w:jc w:val="left"/>
            </w:pPr>
            <w:r>
              <w:t xml:space="preserve">Grand Total Due</w:t>
            </w:r>
          </w:p>
        </w:tc>
        <w:tc>
          <w:tcPr/>
          <w:p>
            <w:pPr>
              <w:pStyle w:val="Compact"/>
              <w:jc w:val="left"/>
            </w:pPr>
            <w:r>
              <w:t xml:space="preserve">324,016,000 IRR</w:t>
            </w:r>
          </w:p>
        </w:tc>
      </w:tr>
    </w:tbl>
    <w:bookmarkStart w:id="26" w:name="invoice-notes-terms-of-service"/>
    <w:p>
      <w:pPr>
        <w:pStyle w:val="Heading4"/>
      </w:pPr>
      <w:r>
        <w:t xml:space="preserve">Invoice Notes &amp; Terms of Service</w:t>
      </w:r>
    </w:p>
    <w:p>
      <w:pPr>
        <w:pStyle w:val="FirstParagraph"/>
      </w:pPr>
      <w:r>
        <w:t xml:space="preserve">1. This Invoice is issued in accordance with the commercial regulations of the Islamic Republic of Iran and applies specifically to professional political advisory services rendered to the named Politician in the city of Iran Tehran.</w:t>
      </w:r>
    </w:p>
    <w:p>
      <w:pPr>
        <w:pStyle w:val="BodyText"/>
      </w:pPr>
      <w:r>
        <w:t xml:space="preserve">2. All services listed in this Invoice were performed at the Politician's designated office within the Tehran metropolitan area unless otherwise noted. Travel expenses within Iran Tehran are included; inter-provincial travel will be billed separately.</w:t>
      </w:r>
    </w:p>
    <w:p>
      <w:pPr>
        <w:pStyle w:val="BodyText"/>
      </w:pPr>
      <w:r>
        <w:t xml:space="preserve">3. Payment for this Invoice is due within fifteen (15) calendar days of the issue date. Late payments will incur a penalty of 2% per month as stipulated in the service agreement between the Politician's office and Tehran Political Strategy &amp; Advisory Group.</w:t>
      </w:r>
    </w:p>
    <w:p>
      <w:pPr>
        <w:pStyle w:val="BodyText"/>
      </w:pPr>
      <w:r>
        <w:t xml:space="preserve">4. The Politician's office is requested to confirm receipt of this Invoice within five (5) business days. Any discrepancies in line items or amounts must be reported in writing to the billing department referenced above.</w:t>
      </w:r>
    </w:p>
    <w:p>
      <w:pPr>
        <w:pStyle w:val="BodyText"/>
      </w:pPr>
      <w:r>
        <w:t xml:space="preserve">5. This Invoice does not constitute a guarantee of electoral outcomes. All strategic recommendations provided to the Politician are advisory in nature and subject to the Politician's independent judgment and compliance with Iranian electoral regulations.</w:t>
      </w:r>
    </w:p>
    <w:p>
      <w:pPr>
        <w:pStyle w:val="BodyText"/>
      </w:pPr>
      <w:r>
        <w:t xml:space="preserve">6. Confidentiality: All materials, strategies, and communications related to this Invoice and the associated services are classified as confidential. Neither party shall disclose the contents of this Invoice or the underlying service agreement to third parties without written consent.</w:t>
      </w:r>
    </w:p>
    <w:p>
      <w:pPr>
        <w:pStyle w:val="BodyText"/>
      </w:pPr>
      <w:r>
        <w:t xml:space="preserve">7. This Invoice is valid for a period of ninety (90) days from the issue date. After this period, the Politician's office must request a reissued Invoice reflecting any applicable rate adjustments.</w:t>
      </w:r>
    </w:p>
    <w:bookmarkEnd w:id="26"/>
    <w:p>
      <w:pPr>
        <w:pStyle w:val="BodyText"/>
      </w:pPr>
      <w:r>
        <w:rPr>
          <w:bCs/>
          <w:b/>
        </w:rPr>
        <w:t xml:space="preserve">Tehran Political Strategy &amp; Advisory Group</w:t>
      </w:r>
      <w:r>
        <w:t xml:space="preserve"> </w:t>
      </w:r>
      <w:r>
        <w:t xml:space="preserve">| Vali-Asr Street, Tehran, Iran | +98-21-8876-5432 | billing@tehranpoliticalstrategy.ir</w:t>
      </w:r>
    </w:p>
    <w:p>
      <w:pPr>
        <w:pStyle w:val="BodyText"/>
      </w:pPr>
      <w:r>
        <w:t xml:space="preserve">This Invoice was generated electronically and is valid without a physical signature. For verification, contact the issuing office in Iran Tehran. Invoice Reference: INV-IRN-THR-2025-04871.</w:t>
      </w:r>
    </w:p>
    <w:p>
      <w:pPr>
        <w:pStyle w:val="BodyText"/>
      </w:pPr>
      <w:r>
        <w:t xml:space="preserve">© 2025 Tehran Political Strategy &amp; Advisory Group. All rights reserved. This document is the property of the issuing entity and the Politician's office. Unauthorized reproduction is prohibited under Iranian commercial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Iran Tehran</dc:title>
  <dc:creator/>
  <dc:language>en</dc:language>
  <cp:keywords/>
  <dcterms:created xsi:type="dcterms:W3CDTF">2026-10-10T09:09:54Z</dcterms:created>
  <dcterms:modified xsi:type="dcterms:W3CDTF">2026-10-10T09:09:54Z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