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Invoice No: IQ-BGD-2025-04782</w:t>
      </w:r>
    </w:p>
    <w:p>
      <w:pPr>
        <w:pStyle w:val="BodyText"/>
      </w:pPr>
      <w:r>
        <w:t xml:space="preserve">POLITICAL ADVISORY SERVICES</w:t>
      </w:r>
    </w:p>
    <w:bookmarkStart w:id="20" w:name="al-rafidain-political-advisory-group"/>
    <w:p>
      <w:pPr>
        <w:pStyle w:val="Heading3"/>
      </w:pPr>
      <w:r>
        <w:t xml:space="preserve">Al-Rafidain Political Advisory Group</w:t>
      </w:r>
    </w:p>
    <w:p>
      <w:pPr>
        <w:pStyle w:val="FirstParagraph"/>
      </w:pPr>
      <w:r>
        <w:t xml:space="preserve">Office of the Honorable Politician</w:t>
      </w:r>
    </w:p>
    <w:p>
      <w:pPr>
        <w:pStyle w:val="BodyText"/>
      </w:pPr>
      <w:r>
        <w:t xml:space="preserve">14th Floor, Al-Mansour Tower</w:t>
      </w:r>
    </w:p>
    <w:p>
      <w:pPr>
        <w:pStyle w:val="BodyText"/>
      </w:pPr>
      <w:r>
        <w:t xml:space="preserve">Al-Mansour District, Baghdad, Iraq</w:t>
      </w:r>
    </w:p>
    <w:p>
      <w:pPr>
        <w:pStyle w:val="BodyText"/>
      </w:pPr>
      <w:r>
        <w:t xml:space="preserve">Tel: +964-1-875-4421</w:t>
      </w:r>
    </w:p>
    <w:p>
      <w:pPr>
        <w:pStyle w:val="BodyText"/>
      </w:pPr>
      <w:r>
        <w:t xml:space="preserve">Email: advisory@alrafidain-politics.iq</w:t>
      </w:r>
    </w:p>
    <w:p>
      <w:pPr>
        <w:pStyle w:val="BodyText"/>
      </w:pPr>
      <w:r>
        <w:t xml:space="preserve">VAT Reg: IQ-382-7741-0092</w:t>
      </w:r>
    </w:p>
    <w:bookmarkEnd w:id="20"/>
    <w:bookmarkStart w:id="21" w:name="billed-to-client"/>
    <w:p>
      <w:pPr>
        <w:pStyle w:val="Heading4"/>
      </w:pPr>
      <w:r>
        <w:t xml:space="preserve">Billed To (Client)</w:t>
      </w:r>
    </w:p>
    <w:p>
      <w:pPr>
        <w:pStyle w:val="FirstParagraph"/>
      </w:pPr>
      <w:r>
        <w:rPr>
          <w:bCs/>
          <w:b/>
        </w:rPr>
        <w:t xml:space="preserve">Ministry of Planning, Republic of Iraq</w:t>
      </w:r>
    </w:p>
    <w:p>
      <w:pPr>
        <w:pStyle w:val="BodyText"/>
      </w:pPr>
      <w:r>
        <w:t xml:space="preserve">Attn: Director of Strategic Partnerships</w:t>
      </w:r>
    </w:p>
    <w:p>
      <w:pPr>
        <w:pStyle w:val="BodyText"/>
      </w:pPr>
      <w:r>
        <w:t xml:space="preserve">Al-Karrada Street, Baghdad, Iraq</w:t>
      </w:r>
    </w:p>
    <w:p>
      <w:pPr>
        <w:pStyle w:val="BodyText"/>
      </w:pPr>
      <w:r>
        <w:t xml:space="preserve">PO Box: 4471, Baghdad 10001</w:t>
      </w:r>
    </w:p>
    <w:p>
      <w:pPr>
        <w:pStyle w:val="BodyText"/>
      </w:pPr>
      <w:r>
        <w:t xml:space="preserve">Contact: +964-1-662-8834</w:t>
      </w:r>
    </w:p>
    <w:bookmarkEnd w:id="21"/>
    <w:bookmarkStart w:id="22" w:name="issued-by-service-provider"/>
    <w:p>
      <w:pPr>
        <w:pStyle w:val="Heading4"/>
      </w:pPr>
      <w:r>
        <w:t xml:space="preserve">Issued By (Service Provider)</w:t>
      </w:r>
    </w:p>
    <w:p>
      <w:pPr>
        <w:pStyle w:val="FirstParagraph"/>
      </w:pPr>
      <w:r>
        <w:rPr>
          <w:bCs/>
          <w:b/>
        </w:rPr>
        <w:t xml:space="preserve">H.E. Dr. Khalid Al-Mansouri</w:t>
      </w:r>
    </w:p>
    <w:p>
      <w:pPr>
        <w:pStyle w:val="BodyText"/>
      </w:pPr>
      <w:r>
        <w:t xml:space="preserve">Senior Politician &amp; Policy Advisor</w:t>
      </w:r>
    </w:p>
    <w:p>
      <w:pPr>
        <w:pStyle w:val="BodyText"/>
      </w:pPr>
      <w:r>
        <w:t xml:space="preserve">Al-Rafidain Political Advisory Group</w:t>
      </w:r>
    </w:p>
    <w:p>
      <w:pPr>
        <w:pStyle w:val="BodyText"/>
      </w:pPr>
      <w:r>
        <w:t xml:space="preserve">Baghdad, Iraq</w:t>
      </w:r>
    </w:p>
    <w:p>
      <w:pPr>
        <w:pStyle w:val="BodyText"/>
      </w:pPr>
      <w:r>
        <w:t xml:space="preserve">License No: POL-ADV-2019-0034</w:t>
      </w:r>
    </w:p>
    <w:bookmarkEnd w:id="22"/>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Service Period:</w:t>
      </w:r>
      <w:r>
        <w:t xml:space="preserve"> </w:t>
      </w:r>
      <w:r>
        <w:t xml:space="preserve">01 April 2025 – 30 June 2025</w:t>
      </w:r>
    </w:p>
    <w:p>
      <w:pPr>
        <w:pStyle w:val="BodyText"/>
      </w:pPr>
      <w:r>
        <w:t xml:space="preserve">Currency:</w:t>
      </w:r>
      <w:r>
        <w:t xml:space="preserve"> </w:t>
      </w:r>
      <w:r>
        <w:t xml:space="preserve">Iraqi Dinar (IQD)</w:t>
      </w:r>
    </w:p>
    <w:p>
      <w:pPr>
        <w:pStyle w:val="BodyText"/>
      </w:pPr>
      <w:r>
        <w:t xml:space="preserve">Payment Method:</w:t>
      </w:r>
      <w:r>
        <w:t xml:space="preserve"> </w:t>
      </w:r>
      <w:r>
        <w:t xml:space="preserve">Bank Transfer</w:t>
      </w:r>
    </w:p>
    <w:p>
      <w:pPr>
        <w:pStyle w:val="BodyText"/>
      </w:pPr>
      <w:r>
        <w:t xml:space="preserve">Bank:</w:t>
      </w:r>
      <w:r>
        <w:t xml:space="preserve"> </w:t>
      </w:r>
      <w:r>
        <w:t xml:space="preserve">Central Bank of Iraq – Baghdad Branch</w:t>
      </w:r>
    </w:p>
    <w:p>
      <w:pPr>
        <w:pStyle w:val="BodyText"/>
      </w:pPr>
      <w:r>
        <w:t xml:space="preserve">Account No:</w:t>
      </w:r>
      <w:r>
        <w:t xml:space="preserve"> </w:t>
      </w:r>
      <w:r>
        <w:t xml:space="preserve">IQ00 CBIQ 0001 8754 4210 0923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Strategic policy consultation for the Politician's legislative agenda in the Council of Representatives, Baghdad session</w:t>
            </w:r>
          </w:p>
        </w:tc>
        <w:tc>
          <w:tcPr/>
          <w:p>
            <w:pPr>
              <w:pStyle w:val="Compact"/>
              <w:jc w:val="left"/>
            </w:pPr>
            <w:r>
              <w:t xml:space="preserve">05 Apr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Public speaking engagement and town hall address organized by the Politician in the Al-Rusafa district, Baghdad</w:t>
            </w:r>
          </w:p>
        </w:tc>
        <w:tc>
          <w:tcPr/>
          <w:p>
            <w:pPr>
              <w:pStyle w:val="Compact"/>
              <w:jc w:val="left"/>
            </w:pPr>
            <w:r>
              <w:t xml:space="preserve">18 Apr 2025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Drafting and review of three (3) policy white papers on economic reform for the Politician's parliamentary committee</w:t>
            </w:r>
          </w:p>
        </w:tc>
        <w:tc>
          <w:tcPr/>
          <w:p>
            <w:pPr>
              <w:pStyle w:val="Compact"/>
              <w:jc w:val="left"/>
            </w:pPr>
            <w:r>
              <w:t xml:space="preserve">22 May 2025</w:t>
            </w:r>
          </w:p>
        </w:tc>
        <w:tc>
          <w:tcPr/>
          <w:p>
            <w:pPr>
              <w:pStyle w:val="Compact"/>
              <w:jc w:val="left"/>
            </w:pPr>
            <w:r>
              <w:t xml:space="preserve">3</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Inter-party negotiation facilitation and coalition-building strategy session hosted by the Politician in Baghdad</w:t>
            </w:r>
          </w:p>
        </w:tc>
        <w:tc>
          <w:tcPr/>
          <w:p>
            <w:pPr>
              <w:pStyle w:val="Compact"/>
              <w:jc w:val="left"/>
            </w:pPr>
            <w:r>
              <w:t xml:space="preserve">09 Jun 2025</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Media relations and public communications management for the Politician's quarterly press briefing in Baghdad</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Constitutional law advisory and legal compliance review for the Politician's proposed municipal governance bill</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28,100,000 IQD</w:t>
            </w:r>
          </w:p>
        </w:tc>
      </w:tr>
      <w:tr>
        <w:tc>
          <w:tcPr/>
          <w:p>
            <w:pPr>
              <w:pStyle w:val="Compact"/>
              <w:jc w:val="left"/>
            </w:pPr>
            <w:r>
              <w:t xml:space="preserve">VAT (5%)</w:t>
            </w:r>
          </w:p>
        </w:tc>
        <w:tc>
          <w:tcPr/>
          <w:p>
            <w:pPr>
              <w:pStyle w:val="Compact"/>
              <w:jc w:val="left"/>
            </w:pPr>
            <w:r>
              <w:t xml:space="preserve">1,405,000 IQD</w:t>
            </w:r>
          </w:p>
        </w:tc>
      </w:tr>
      <w:tr>
        <w:tc>
          <w:tcPr/>
          <w:p>
            <w:pPr>
              <w:pStyle w:val="Compact"/>
              <w:jc w:val="left"/>
            </w:pPr>
            <w:r>
              <w:t xml:space="preserve">Government Service Levy (2%)</w:t>
            </w:r>
          </w:p>
        </w:tc>
        <w:tc>
          <w:tcPr/>
          <w:p>
            <w:pPr>
              <w:pStyle w:val="Compact"/>
              <w:jc w:val="left"/>
            </w:pPr>
            <w:r>
              <w:t xml:space="preserve">562,000 IQD</w:t>
            </w:r>
          </w:p>
        </w:tc>
      </w:tr>
      <w:tr>
        <w:tc>
          <w:tcPr/>
          <w:p>
            <w:pPr>
              <w:pStyle w:val="Compact"/>
              <w:jc w:val="left"/>
            </w:pPr>
            <w:r>
              <w:t xml:space="preserve">Discount – Institutional Client (3%)</w:t>
            </w:r>
          </w:p>
        </w:tc>
        <w:tc>
          <w:tcPr/>
          <w:p>
            <w:pPr>
              <w:pStyle w:val="Compact"/>
              <w:jc w:val="left"/>
            </w:pPr>
            <w:r>
              <w:t xml:space="preserve">(843,000) IQD</w:t>
            </w:r>
          </w:p>
        </w:tc>
      </w:tr>
      <w:tr>
        <w:tc>
          <w:tcPr/>
          <w:p>
            <w:pPr>
              <w:pStyle w:val="Compact"/>
              <w:jc w:val="left"/>
            </w:pPr>
            <w:r>
              <w:t xml:space="preserve">GRAND TOTAL</w:t>
            </w:r>
          </w:p>
        </w:tc>
        <w:tc>
          <w:tcPr/>
          <w:p>
            <w:pPr>
              <w:pStyle w:val="Compact"/>
              <w:jc w:val="left"/>
            </w:pPr>
            <w:r>
              <w:t xml:space="preserve">29,224,000 IQD</w:t>
            </w:r>
          </w:p>
        </w:tc>
      </w:tr>
    </w:tbl>
    <w:bookmarkStart w:id="23" w:name="terms-and-conditions-of-this-invoice"/>
    <w:p>
      <w:pPr>
        <w:pStyle w:val="Heading3"/>
      </w:pPr>
      <w:r>
        <w:t xml:space="preserve">Terms and Conditions of This Invoice</w:t>
      </w:r>
    </w:p>
    <w:p>
      <w:pPr>
        <w:pStyle w:val="FirstParagraph"/>
      </w:pPr>
      <w:r>
        <w:t xml:space="preserve">This Invoice is issued in accordance with the regulations of the Republic of Iraq and the applicable commercial codes governing professional services in Baghdad. The Politician, H.E. Dr. Khalid Al-Mansouri, and the Al-Rafidain Political Advisory Group confirm that all services rendered during the period specified above were conducted in full compliance with Iraqi law, the Code of Conduct for Public Officials, and the ethical standards established by the Baghdad Municipal Authority.</w:t>
      </w:r>
    </w:p>
    <w:p>
      <w:pPr>
        <w:numPr>
          <w:ilvl w:val="0"/>
          <w:numId w:val="1001"/>
        </w:numPr>
        <w:pStyle w:val="Compact"/>
      </w:pPr>
      <w:r>
        <w:t xml:space="preserve">Payment is due within thirty (30) calendar days from the Invoice date. Late payments shall incur a penalty of 1.5% per month as stipulated by Iraqi commercial law.</w:t>
      </w:r>
    </w:p>
    <w:p>
      <w:pPr>
        <w:numPr>
          <w:ilvl w:val="0"/>
          <w:numId w:val="1001"/>
        </w:numPr>
        <w:pStyle w:val="Compact"/>
      </w:pPr>
      <w:r>
        <w:t xml:space="preserve">All services described in this Invoice were performed by or under the direct supervision of the Politician in Baghdad, Iraq. No portion of the work was outsourced outside the territory of Iraq without prior written consent.</w:t>
      </w:r>
    </w:p>
    <w:p>
      <w:pPr>
        <w:numPr>
          <w:ilvl w:val="0"/>
          <w:numId w:val="1001"/>
        </w:numPr>
        <w:pStyle w:val="Compact"/>
      </w:pPr>
      <w:r>
        <w:t xml:space="preserve">The Politician warrants that all policy documents, white papers, and advisory materials delivered under this Invoice are original works and do not infringe upon any intellectual property rights.</w:t>
      </w:r>
    </w:p>
    <w:p>
      <w:pPr>
        <w:numPr>
          <w:ilvl w:val="0"/>
          <w:numId w:val="1001"/>
        </w:numPr>
        <w:pStyle w:val="Compact"/>
      </w:pPr>
      <w:r>
        <w:t xml:space="preserve">This Invoice is valid for a period of ninety (90) days from the date of issue. After this period, the client must request a re-issued Invoice from the Al-Rafidain Political Advisory Group office in Baghdad.</w:t>
      </w:r>
    </w:p>
    <w:p>
      <w:pPr>
        <w:numPr>
          <w:ilvl w:val="0"/>
          <w:numId w:val="1001"/>
        </w:numPr>
        <w:pStyle w:val="Compact"/>
      </w:pPr>
      <w:r>
        <w:t xml:space="preserve">Any disputes arising from this Invoice shall be resolved through the competent courts in Baghdad, Iraq, in accordance with the Iraqi Civil Code and the Law of Civil Procedure.</w:t>
      </w:r>
    </w:p>
    <w:p>
      <w:pPr>
        <w:numPr>
          <w:ilvl w:val="0"/>
          <w:numId w:val="1001"/>
        </w:numPr>
        <w:pStyle w:val="Compact"/>
      </w:pPr>
      <w:r>
        <w:t xml:space="preserve">The Politician reserves the right to amend or withdraw any policy recommendation provided under this engagement if new legislative developments in the Council of Representatives render the advice obsolete.</w:t>
      </w:r>
    </w:p>
    <w:p>
      <w:pPr>
        <w:numPr>
          <w:ilvl w:val="0"/>
          <w:numId w:val="1001"/>
        </w:numPr>
        <w:pStyle w:val="Compact"/>
      </w:pPr>
      <w:r>
        <w:t xml:space="preserve">Tax identification and VAT registration details are provided in accordance with the requirements of the Iraqi General Commission for Zaka, Tax, and Customs.</w:t>
      </w:r>
    </w:p>
    <w:p>
      <w:pPr>
        <w:pStyle w:val="FirstParagraph"/>
      </w:pPr>
      <w:r>
        <w:t xml:space="preserve">By accepting this Invoice, the client acknowledges receipt of all services rendered by the Politician and agrees to the terms outlined herein. This document serves as the official financial record for the political advisory engagement conducted in Iraq Baghdad during the second quarter of 2025.</w:t>
      </w:r>
    </w:p>
    <w:bookmarkEnd w:id="23"/>
    <w:p>
      <w:pPr>
        <w:pStyle w:val="BodyText"/>
      </w:pPr>
      <w:r>
        <w:rPr>
          <w:bCs/>
          <w:b/>
        </w:rPr>
        <w:t xml:space="preserve">Al-Rafidain Political Advisory Group</w:t>
      </w:r>
      <w:r>
        <w:t xml:space="preserve"> </w:t>
      </w:r>
      <w:r>
        <w:t xml:space="preserve">| Office of the Honorable Politician | Baghdad, Iraq</w:t>
      </w:r>
    </w:p>
    <w:p>
      <w:pPr>
        <w:pStyle w:val="BodyText"/>
      </w:pPr>
      <w:r>
        <w:t xml:space="preserve">This Invoice was generated electronically and is valid without a physical signature in accordance with Iraqi Electronic Transactions Law No. 19 of 2014.</w:t>
      </w:r>
    </w:p>
    <w:p>
      <w:pPr>
        <w:pStyle w:val="BodyText"/>
      </w:pPr>
      <w:r>
        <w:t xml:space="preserve">Document Reference: IQ-BGD-2025-04782 | Page 1 of 1 | Issued in Baghdad, Republic of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Iraq Baghdad</dc:title>
  <dc:creator/>
  <dc:language>en</dc:language>
  <cp:keywords/>
  <dcterms:created xsi:type="dcterms:W3CDTF">2026-10-10T07:34:56Z</dcterms:created>
  <dcterms:modified xsi:type="dcterms:W3CDTF">2026-10-10T07:34:56Z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