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Netherlands</w:t>
      </w:r>
      <w:r>
        <w:t xml:space="preserve"> </w:t>
      </w:r>
      <w:r>
        <w:t xml:space="preserve">Amsterdam</w:t>
      </w:r>
    </w:p>
    <w:p>
      <w:pPr>
        <w:pStyle w:val="FirstParagraph"/>
      </w:pPr>
      <w:r>
        <w:t xml:space="preserve">INVOICE</w:t>
      </w:r>
    </w:p>
    <w:p>
      <w:pPr>
        <w:pStyle w:val="BodyText"/>
      </w:pPr>
      <w:r>
        <w:t xml:space="preserve">Political Advisory Services</w:t>
      </w:r>
    </w:p>
    <w:bookmarkStart w:id="20" w:name="invoice-number"/>
    <w:p>
      <w:pPr>
        <w:pStyle w:val="Heading3"/>
      </w:pPr>
      <w:r>
        <w:t xml:space="preserve">Invoice Number:</w:t>
      </w:r>
    </w:p>
    <w:p>
      <w:pPr>
        <w:pStyle w:val="FirstParagraph"/>
      </w:pPr>
      <w:r>
        <w:t xml:space="preserve">INV-2025-AMST-0472</w:t>
      </w:r>
    </w:p>
    <w:bookmarkEnd w:id="20"/>
    <w:bookmarkStart w:id="21" w:name="issue-date"/>
    <w:p>
      <w:pPr>
        <w:pStyle w:val="Heading3"/>
      </w:pPr>
      <w:r>
        <w:t xml:space="preserve">Issue Date:</w:t>
      </w:r>
    </w:p>
    <w:p>
      <w:pPr>
        <w:pStyle w:val="FirstParagraph"/>
      </w:pPr>
      <w:r>
        <w:t xml:space="preserve">14 June 2025</w:t>
      </w:r>
    </w:p>
    <w:bookmarkEnd w:id="21"/>
    <w:bookmarkStart w:id="22" w:name="due-date"/>
    <w:p>
      <w:pPr>
        <w:pStyle w:val="Heading3"/>
      </w:pPr>
      <w:r>
        <w:t xml:space="preserve">Due Date:</w:t>
      </w:r>
    </w:p>
    <w:p>
      <w:pPr>
        <w:pStyle w:val="FirstParagraph"/>
      </w:pPr>
      <w:r>
        <w:t xml:space="preserve">14 July 2025</w:t>
      </w:r>
    </w:p>
    <w:bookmarkEnd w:id="22"/>
    <w:bookmarkStart w:id="23" w:name="payment-terms"/>
    <w:p>
      <w:pPr>
        <w:pStyle w:val="Heading3"/>
      </w:pPr>
      <w:r>
        <w:t xml:space="preserve">Payment Terms:</w:t>
      </w:r>
    </w:p>
    <w:p>
      <w:pPr>
        <w:pStyle w:val="FirstParagraph"/>
      </w:pPr>
      <w:r>
        <w:t xml:space="preserve">Net 30 Days</w:t>
      </w:r>
    </w:p>
    <w:bookmarkEnd w:id="23"/>
    <w:bookmarkStart w:id="24" w:name="issued-by-service-provider"/>
    <w:p>
      <w:pPr>
        <w:pStyle w:val="Heading4"/>
      </w:pPr>
      <w:r>
        <w:t xml:space="preserve">Issued By (Service Provider)</w:t>
      </w:r>
    </w:p>
    <w:p>
      <w:pPr>
        <w:pStyle w:val="FirstParagraph"/>
      </w:pPr>
      <w:r>
        <w:rPr>
          <w:bCs/>
          <w:b/>
        </w:rPr>
        <w:t xml:space="preserve">Amsterdam Political Strategy Group B.V.</w:t>
      </w:r>
    </w:p>
    <w:p>
      <w:pPr>
        <w:pStyle w:val="BodyText"/>
      </w:pPr>
      <w:r>
        <w:t xml:space="preserve">Keizersgracht 214</w:t>
      </w:r>
    </w:p>
    <w:p>
      <w:pPr>
        <w:pStyle w:val="BodyText"/>
      </w:pPr>
      <w:r>
        <w:t xml:space="preserve">1016 DW Amsterdam</w:t>
      </w:r>
    </w:p>
    <w:p>
      <w:pPr>
        <w:pStyle w:val="BodyText"/>
      </w:pPr>
      <w:r>
        <w:t xml:space="preserve">Netherlands</w:t>
      </w:r>
    </w:p>
    <w:p>
      <w:pPr>
        <w:pStyle w:val="BodyText"/>
      </w:pPr>
      <w:r>
        <w:t xml:space="preserve">KvK: 87654321</w:t>
      </w:r>
    </w:p>
    <w:p>
      <w:pPr>
        <w:pStyle w:val="BodyText"/>
      </w:pPr>
      <w:r>
        <w:t xml:space="preserve">BTW (VAT): NL861234567B01</w:t>
      </w:r>
    </w:p>
    <w:p>
      <w:pPr>
        <w:pStyle w:val="BodyText"/>
      </w:pPr>
      <w:r>
        <w:t xml:space="preserve">Email: billing@apsg.nl</w:t>
      </w:r>
    </w:p>
    <w:p>
      <w:pPr>
        <w:pStyle w:val="BodyText"/>
      </w:pPr>
      <w:r>
        <w:t xml:space="preserve">Phone: +31 20 555 0142</w:t>
      </w:r>
    </w:p>
    <w:bookmarkEnd w:id="24"/>
    <w:bookmarkStart w:id="25" w:name="issued-to-client"/>
    <w:p>
      <w:pPr>
        <w:pStyle w:val="Heading4"/>
      </w:pPr>
      <w:r>
        <w:t xml:space="preserve">Issued To (Client)</w:t>
      </w:r>
    </w:p>
    <w:p>
      <w:pPr>
        <w:pStyle w:val="FirstParagraph"/>
      </w:pPr>
      <w:r>
        <w:rPr>
          <w:bCs/>
          <w:b/>
        </w:rPr>
        <w:t xml:space="preserve">Office of the Politician</w:t>
      </w:r>
    </w:p>
    <w:p>
      <w:pPr>
        <w:pStyle w:val="BodyText"/>
      </w:pPr>
      <w:r>
        <w:t xml:space="preserve">Mr. J. van der Berg, MSc</w:t>
      </w:r>
    </w:p>
    <w:p>
      <w:pPr>
        <w:pStyle w:val="BodyText"/>
      </w:pPr>
      <w:r>
        <w:t xml:space="preserve">Member of the House of Representatives</w:t>
      </w:r>
    </w:p>
    <w:p>
      <w:pPr>
        <w:pStyle w:val="BodyText"/>
      </w:pPr>
      <w:r>
        <w:t xml:space="preserve">Parliamentary Building, Binnenhof</w:t>
      </w:r>
    </w:p>
    <w:p>
      <w:pPr>
        <w:pStyle w:val="BodyText"/>
      </w:pPr>
      <w:r>
        <w:t xml:space="preserve">Representative Office: Herengracht 450</w:t>
      </w:r>
    </w:p>
    <w:p>
      <w:pPr>
        <w:pStyle w:val="BodyText"/>
      </w:pPr>
      <w:r>
        <w:t xml:space="preserve">1017 CA Amsterdam</w:t>
      </w:r>
    </w:p>
    <w:p>
      <w:pPr>
        <w:pStyle w:val="BodyText"/>
      </w:pPr>
      <w:r>
        <w:t xml:space="preserve">Netherlands</w:t>
      </w:r>
    </w:p>
    <w:p>
      <w:pPr>
        <w:pStyle w:val="BodyText"/>
      </w:pPr>
      <w:r>
        <w:t xml:space="preserve">Reference: POL-ADV-2025-Q2</w:t>
      </w:r>
    </w:p>
    <w:bookmarkEnd w:id="25"/>
    <w:bookmarkStart w:id="27" w:name="description-of-services-rendered"/>
    <w:p>
      <w:pPr>
        <w:pStyle w:val="Heading3"/>
      </w:pPr>
      <w:r>
        <w:t xml:space="preserve">Description of Services Rendered</w:t>
      </w:r>
    </w:p>
    <w:p>
      <w:pPr>
        <w:pStyle w:val="FirstParagraph"/>
      </w:pPr>
      <w:r>
        <w:t xml:space="preserve">This Invoice pertains to professional political advisory, campaign strategy, and public engagement services provided to the Politician's office during the second quarter of 2025 in Netherlands Amsterdam. All services were delivered in accordance with the contractual agreement dated 1 January 2025 and comply with the Dutch Political Parties Act (Partijwet) and applicable municipal regulations in Amsterdam.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Campaign strategy development for municipal elections in Amsterdam, including voter demographic analysis and messaging framework for the Politician's platform</w:t>
            </w:r>
          </w:p>
        </w:tc>
        <w:tc>
          <w:tcPr/>
          <w:p>
            <w:pPr>
              <w:pStyle w:val="Compact"/>
              <w:jc w:val="left"/>
            </w:pPr>
            <w:r>
              <w:t xml:space="preserve">03 Feb 2025</w:t>
            </w:r>
          </w:p>
        </w:tc>
        <w:tc>
          <w:tcPr/>
          <w:p>
            <w:pPr>
              <w:pStyle w:val="Compact"/>
              <w:jc w:val="left"/>
            </w:pPr>
            <w:r>
              <w:t xml:space="preserve">24</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2</w:t>
            </w:r>
          </w:p>
        </w:tc>
        <w:tc>
          <w:tcPr/>
          <w:p>
            <w:pPr>
              <w:pStyle w:val="Compact"/>
              <w:jc w:val="left"/>
            </w:pPr>
            <w:r>
              <w:t xml:space="preserve">Public speaking preparation and media training sessions for the Politician ahead of the Amsterdam City Council plenary session</w:t>
            </w:r>
          </w:p>
        </w:tc>
        <w:tc>
          <w:tcPr/>
          <w:p>
            <w:pPr>
              <w:pStyle w:val="Compact"/>
              <w:jc w:val="left"/>
            </w:pPr>
            <w:r>
              <w:t xml:space="preserve">17 Feb 2025</w:t>
            </w:r>
          </w:p>
        </w:tc>
        <w:tc>
          <w:tcPr/>
          <w:p>
            <w:pPr>
              <w:pStyle w:val="Compact"/>
              <w:jc w:val="left"/>
            </w:pPr>
            <w:r>
              <w:t xml:space="preserve">12</w:t>
            </w:r>
          </w:p>
        </w:tc>
        <w:tc>
          <w:tcPr/>
          <w:p>
            <w:pPr>
              <w:pStyle w:val="Compact"/>
              <w:jc w:val="left"/>
            </w:pPr>
            <w:r>
              <w:t xml:space="preserve">€210.00</w:t>
            </w:r>
          </w:p>
        </w:tc>
        <w:tc>
          <w:tcPr/>
          <w:p>
            <w:pPr>
              <w:pStyle w:val="Compact"/>
              <w:jc w:val="left"/>
            </w:pPr>
            <w:r>
              <w:t xml:space="preserve">€2,520.00</w:t>
            </w:r>
          </w:p>
        </w:tc>
      </w:tr>
      <w:tr>
        <w:tc>
          <w:tcPr/>
          <w:p>
            <w:pPr>
              <w:pStyle w:val="Compact"/>
              <w:jc w:val="left"/>
            </w:pPr>
            <w:r>
              <w:t xml:space="preserve">3</w:t>
            </w:r>
          </w:p>
        </w:tc>
        <w:tc>
          <w:tcPr/>
          <w:p>
            <w:pPr>
              <w:pStyle w:val="Compact"/>
              <w:jc w:val="left"/>
            </w:pPr>
            <w:r>
              <w:t xml:space="preserve">Stakeholder engagement mapping and constituent outreach programme design for the Politician's Amsterdam district office</w:t>
            </w:r>
          </w:p>
        </w:tc>
        <w:tc>
          <w:tcPr/>
          <w:p>
            <w:pPr>
              <w:pStyle w:val="Compact"/>
              <w:jc w:val="left"/>
            </w:pPr>
            <w:r>
              <w:t xml:space="preserve">07 Mar 2025</w:t>
            </w:r>
          </w:p>
        </w:tc>
        <w:tc>
          <w:tcPr/>
          <w:p>
            <w:pPr>
              <w:pStyle w:val="Compact"/>
              <w:jc w:val="left"/>
            </w:pPr>
            <w:r>
              <w:t xml:space="preserve">18</w:t>
            </w:r>
          </w:p>
        </w:tc>
        <w:tc>
          <w:tcPr/>
          <w:p>
            <w:pPr>
              <w:pStyle w:val="Compact"/>
              <w:jc w:val="left"/>
            </w:pPr>
            <w:r>
              <w:t xml:space="preserve">€185.00</w:t>
            </w:r>
          </w:p>
        </w:tc>
        <w:tc>
          <w:tcPr/>
          <w:p>
            <w:pPr>
              <w:pStyle w:val="Compact"/>
              <w:jc w:val="left"/>
            </w:pPr>
            <w:r>
              <w:t xml:space="preserve">€3,330.00</w:t>
            </w:r>
          </w:p>
        </w:tc>
      </w:tr>
      <w:tr>
        <w:tc>
          <w:tcPr/>
          <w:p>
            <w:pPr>
              <w:pStyle w:val="Compact"/>
              <w:jc w:val="left"/>
            </w:pPr>
            <w:r>
              <w:t xml:space="preserve">4</w:t>
            </w:r>
          </w:p>
        </w:tc>
        <w:tc>
          <w:tcPr/>
          <w:p>
            <w:pPr>
              <w:pStyle w:val="Compact"/>
              <w:jc w:val="left"/>
            </w:pPr>
            <w:r>
              <w:t xml:space="preserve">Policy briefing preparation and legislative impact assessment for housing reform bill under discussion in the Dutch Parliament</w:t>
            </w:r>
          </w:p>
        </w:tc>
        <w:tc>
          <w:tcPr/>
          <w:p>
            <w:pPr>
              <w:pStyle w:val="Compact"/>
              <w:jc w:val="left"/>
            </w:pPr>
            <w:r>
              <w:t xml:space="preserve">21 Mar 2025</w:t>
            </w:r>
          </w:p>
        </w:tc>
        <w:tc>
          <w:tcPr/>
          <w:p>
            <w:pPr>
              <w:pStyle w:val="Compact"/>
              <w:jc w:val="left"/>
            </w:pPr>
            <w:r>
              <w:t xml:space="preserve">20</w:t>
            </w:r>
          </w:p>
        </w:tc>
        <w:tc>
          <w:tcPr/>
          <w:p>
            <w:pPr>
              <w:pStyle w:val="Compact"/>
              <w:jc w:val="left"/>
            </w:pPr>
            <w:r>
              <w:t xml:space="preserve">€195.00</w:t>
            </w:r>
          </w:p>
        </w:tc>
        <w:tc>
          <w:tcPr/>
          <w:p>
            <w:pPr>
              <w:pStyle w:val="Compact"/>
              <w:jc w:val="left"/>
            </w:pPr>
            <w:r>
              <w:t xml:space="preserve">€3,900.00</w:t>
            </w:r>
          </w:p>
        </w:tc>
      </w:tr>
      <w:tr>
        <w:tc>
          <w:tcPr/>
          <w:p>
            <w:pPr>
              <w:pStyle w:val="Compact"/>
              <w:jc w:val="left"/>
            </w:pPr>
            <w:r>
              <w:t xml:space="preserve">5</w:t>
            </w:r>
          </w:p>
        </w:tc>
        <w:tc>
          <w:tcPr/>
          <w:p>
            <w:pPr>
              <w:pStyle w:val="Compact"/>
              <w:jc w:val="left"/>
            </w:pPr>
            <w:r>
              <w:t xml:space="preserve">Digital communication strategy and social media content planning for the Politician's public image management in Netherlands Amsterdam</w:t>
            </w:r>
          </w:p>
        </w:tc>
        <w:tc>
          <w:tcPr/>
          <w:p>
            <w:pPr>
              <w:pStyle w:val="Compact"/>
              <w:jc w:val="left"/>
            </w:pPr>
            <w:r>
              <w:t xml:space="preserve">04 Apr 2025</w:t>
            </w:r>
          </w:p>
        </w:tc>
        <w:tc>
          <w:tcPr/>
          <w:p>
            <w:pPr>
              <w:pStyle w:val="Compact"/>
              <w:jc w:val="left"/>
            </w:pPr>
            <w:r>
              <w:t xml:space="preserve">16</w:t>
            </w:r>
          </w:p>
        </w:tc>
        <w:tc>
          <w:tcPr/>
          <w:p>
            <w:pPr>
              <w:pStyle w:val="Compact"/>
              <w:jc w:val="left"/>
            </w:pPr>
            <w:r>
              <w:t xml:space="preserve">€175.00</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Event coordination and logistics management for the Politician's community town hall meeting at the Amsterdam Concertgebouw</w:t>
            </w:r>
          </w:p>
        </w:tc>
        <w:tc>
          <w:tcPr/>
          <w:p>
            <w:pPr>
              <w:pStyle w:val="Compact"/>
              <w:jc w:val="left"/>
            </w:pPr>
            <w:r>
              <w:t xml:space="preserve">18 Apr 2025</w:t>
            </w:r>
          </w:p>
        </w:tc>
        <w:tc>
          <w:tcPr/>
          <w:p>
            <w:pPr>
              <w:pStyle w:val="Compact"/>
              <w:jc w:val="left"/>
            </w:pPr>
            <w:r>
              <w:t xml:space="preserve">10</w:t>
            </w:r>
          </w:p>
        </w:tc>
        <w:tc>
          <w:tcPr/>
          <w:p>
            <w:pPr>
              <w:pStyle w:val="Compact"/>
              <w:jc w:val="left"/>
            </w:pPr>
            <w:r>
              <w:t xml:space="preserve">€220.00</w:t>
            </w:r>
          </w:p>
        </w:tc>
        <w:tc>
          <w:tcPr/>
          <w:p>
            <w:pPr>
              <w:pStyle w:val="Compact"/>
              <w:jc w:val="left"/>
            </w:pPr>
            <w:r>
              <w:t xml:space="preserve">€2,200.00</w:t>
            </w:r>
          </w:p>
        </w:tc>
      </w:tr>
      <w:tr>
        <w:tc>
          <w:tcPr/>
          <w:p>
            <w:pPr>
              <w:pStyle w:val="Compact"/>
              <w:jc w:val="left"/>
            </w:pPr>
            <w:r>
              <w:t xml:space="preserve">7</w:t>
            </w:r>
          </w:p>
        </w:tc>
        <w:tc>
          <w:tcPr/>
          <w:p>
            <w:pPr>
              <w:pStyle w:val="Compact"/>
              <w:jc w:val="left"/>
            </w:pPr>
            <w:r>
              <w:t xml:space="preserve">Quarterly performance review and strategic roadmap update for the Politician's legislative agenda in the Netherlands</w:t>
            </w:r>
          </w:p>
        </w:tc>
        <w:tc>
          <w:tcPr/>
          <w:p>
            <w:pPr>
              <w:pStyle w:val="Compact"/>
              <w:jc w:val="left"/>
            </w:pPr>
            <w:r>
              <w:t xml:space="preserve">02 May 2025</w:t>
            </w:r>
          </w:p>
        </w:tc>
        <w:tc>
          <w:tcPr/>
          <w:p>
            <w:pPr>
              <w:pStyle w:val="Compact"/>
              <w:jc w:val="left"/>
            </w:pPr>
            <w:r>
              <w:t xml:space="preserve">8</w:t>
            </w:r>
          </w:p>
        </w:tc>
        <w:tc>
          <w:tcPr/>
          <w:p>
            <w:pPr>
              <w:pStyle w:val="Compact"/>
              <w:jc w:val="left"/>
            </w:pPr>
            <w:r>
              <w:t xml:space="preserve">€250.00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€21,190.00</w:t>
            </w:r>
          </w:p>
        </w:tc>
      </w:tr>
      <w:tr>
        <w:tc>
          <w:tcPr/>
          <w:p>
            <w:pPr>
              <w:pStyle w:val="Compact"/>
              <w:jc w:val="left"/>
            </w:pPr>
            <w:r>
              <w:t xml:space="preserve">VAT (21% - Netherlands)</w:t>
            </w:r>
          </w:p>
        </w:tc>
        <w:tc>
          <w:tcPr/>
          <w:p>
            <w:pPr>
              <w:pStyle w:val="Compact"/>
              <w:jc w:val="right"/>
            </w:pPr>
            <w:r>
              <w:t xml:space="preserve">€4,449.90</w:t>
            </w:r>
          </w:p>
        </w:tc>
      </w:tr>
      <w:tr>
        <w:tc>
          <w:tcPr/>
          <w:p>
            <w:pPr>
              <w:pStyle w:val="Compact"/>
              <w:jc w:val="left"/>
            </w:pPr>
            <w:r>
              <w:t xml:space="preserve">Total Amount Due</w:t>
            </w:r>
          </w:p>
        </w:tc>
        <w:tc>
          <w:tcPr/>
          <w:p>
            <w:pPr>
              <w:pStyle w:val="Compact"/>
              <w:jc w:val="right"/>
            </w:pPr>
            <w:r>
              <w:t xml:space="preserve">€25,639.90</w:t>
            </w:r>
          </w:p>
        </w:tc>
      </w:tr>
    </w:tbl>
    <w:bookmarkStart w:id="26" w:name="payment-instructions-important-notes"/>
    <w:p>
      <w:pPr>
        <w:pStyle w:val="Heading4"/>
      </w:pPr>
      <w:r>
        <w:t xml:space="preserve">Payment Instructions &amp; Important Notes</w:t>
      </w:r>
    </w:p>
    <w:p>
      <w:pPr>
        <w:pStyle w:val="FirstParagraph"/>
      </w:pPr>
      <w:r>
        <w:rPr>
          <w:bCs/>
          <w:b/>
        </w:rPr>
        <w:t xml:space="preserve">Bank Details:</w:t>
      </w:r>
      <w:r>
        <w:t xml:space="preserve"> </w:t>
      </w:r>
      <w:r>
        <w:t xml:space="preserve">Amsterdam Political Strategy Group B.V. | IBAN: NL91 ABNA 0417 1643 00 | BIC: ABNANL2A | Bank: ABN AMRO, Amsterdam, Netherlands</w:t>
      </w:r>
    </w:p>
    <w:p>
      <w:pPr>
        <w:pStyle w:val="BodyText"/>
      </w:pPr>
      <w:r>
        <w:rPr>
          <w:bCs/>
          <w:b/>
        </w:rPr>
        <w:t xml:space="preserve">Reference:</w:t>
      </w:r>
      <w:r>
        <w:t xml:space="preserve"> </w:t>
      </w:r>
      <w:r>
        <w:t xml:space="preserve">Please include Invoice number INV-2025-AMST-0472 and the Politician's office reference POL-ADV-2025-Q2 in all payment communications.</w:t>
      </w:r>
    </w:p>
    <w:p>
      <w:pPr>
        <w:pStyle w:val="BodyText"/>
      </w:pPr>
      <w:r>
        <w:rPr>
          <w:bCs/>
          <w:b/>
        </w:rPr>
        <w:t xml:space="preserve">Compliance Note:</w:t>
      </w:r>
      <w:r>
        <w:t xml:space="preserve"> </w:t>
      </w:r>
      <w:r>
        <w:t xml:space="preserve">This Invoice has been prepared in full compliance with the Dutch Political Parties Act (Partijwet 1917), the Amsterdam Municipal Code on political funding transparency, and the European Union regulations on political party financing. All services rendered to the Politician's office have been documented and are subject to audit by the Dutch Electoral Council (Kiesraad) upon request.</w:t>
      </w:r>
    </w:p>
    <w:p>
      <w:pPr>
        <w:pStyle w:val="BodyText"/>
      </w:pPr>
      <w:r>
        <w:rPr>
          <w:bCs/>
          <w:b/>
        </w:rPr>
        <w:t xml:space="preserve">Confidentiality:</w:t>
      </w:r>
      <w:r>
        <w:t xml:space="preserve"> </w:t>
      </w:r>
      <w:r>
        <w:t xml:space="preserve">The contents of this Invoice and the associated service deliverables are classified as confidential political advisory material. Distribution is restricted to the Politician's authorised office staff and the Dutch Ministry of the Interior and Kingdom Relations (BZK) for regulatory reporting purposes only.</w:t>
      </w:r>
    </w:p>
    <w:p>
      <w:pPr>
        <w:pStyle w:val="BodyText"/>
      </w:pPr>
      <w:r>
        <w:rPr>
          <w:bCs/>
          <w:b/>
        </w:rPr>
        <w:t xml:space="preserve">Dispute Resolution:</w:t>
      </w:r>
      <w:r>
        <w:t xml:space="preserve"> </w:t>
      </w:r>
      <w:r>
        <w:t xml:space="preserve">Any disputes arising from this Invoice shall be resolved in accordance with Dutch civil law and shall be subject to the jurisdiction of the District Court of Amsterdam, Netherlands.</w:t>
      </w:r>
    </w:p>
    <w:p>
      <w:pPr>
        <w:pStyle w:val="BodyText"/>
      </w:pPr>
      <w:r>
        <w:rPr>
          <w:bCs/>
          <w:b/>
        </w:rPr>
        <w:t xml:space="preserve">Validity:</w:t>
      </w:r>
      <w:r>
        <w:t xml:space="preserve"> </w:t>
      </w:r>
      <w:r>
        <w:t xml:space="preserve">This Invoice is valid for payment within thirty (30) calendar days from the issue date. Late payments shall incur interest at the statutory rate as defined in Article 6:119a of the Dutch Civil Code (Burgerlijk Wetboek).</w:t>
      </w:r>
    </w:p>
    <w:bookmarkEnd w:id="26"/>
    <w:p>
      <w:pPr>
        <w:pStyle w:val="BodyText"/>
      </w:pPr>
      <w:r>
        <w:t xml:space="preserve">This Invoice was generated electronically by Amsterdam Political Strategy Group B.V. and constitutes a valid fiscal document under Dutch tax law (Wet op de omzetbelasting). The Politician's office acknowledges receipt of this Invoice and agrees to the terms stated herein. For questions regarding this Invoice, please contact the billing department at billing@apsg.nl or +31 20 555 0142, Monday through Friday, 09:00–17:00 CET, Amsterdam, Netherlands.</w:t>
      </w:r>
    </w:p>
    <w:p>
      <w:pPr>
        <w:pStyle w:val="BodyText"/>
      </w:pPr>
      <w:r>
        <w:t xml:space="preserve">© 2025 Amsterdam Political Strategy Group B.V. | KvK 87654321 | All rights reserved. | Netherlands Amsterdam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Netherlands Amsterdam</dc:title>
  <dc:creator/>
  <dc:language>en</dc:language>
  <cp:keywords/>
  <dcterms:created xsi:type="dcterms:W3CDTF">2026-10-10T02:41:57Z</dcterms:created>
  <dcterms:modified xsi:type="dcterms:W3CDTF">2026-10-10T02:41:57Z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