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Political</w:t>
      </w:r>
      <w:r>
        <w:t xml:space="preserve"> </w:t>
      </w:r>
      <w:r>
        <w:t xml:space="preserve">Consulting</w:t>
      </w:r>
      <w:r>
        <w:t xml:space="preserve"> </w:t>
      </w:r>
      <w:r>
        <w:t xml:space="preserve">Services</w:t>
      </w:r>
      <w:r>
        <w:t xml:space="preserve"> </w:t>
      </w:r>
      <w:r>
        <w:t xml:space="preserve">-</w:t>
      </w:r>
      <w:r>
        <w:t xml:space="preserve"> </w:t>
      </w:r>
      <w:r>
        <w:t xml:space="preserve">Lima,</w:t>
      </w:r>
      <w:r>
        <w:t xml:space="preserve"> </w:t>
      </w:r>
      <w:r>
        <w:t xml:space="preserve">Peru</w:t>
      </w:r>
    </w:p>
    <w:bookmarkStart w:id="20" w:name="andes-political-strategy-group"/>
    <w:p>
      <w:pPr>
        <w:pStyle w:val="Heading1"/>
      </w:pPr>
      <w:r>
        <w:t xml:space="preserve">Andes Political Strategy Group</w:t>
      </w:r>
    </w:p>
    <w:p>
      <w:pPr>
        <w:pStyle w:val="FirstParagraph"/>
      </w:pPr>
      <w:r>
        <w:t xml:space="preserve">Av. Javier Prado Este 1250, Of. 804</w:t>
      </w:r>
    </w:p>
    <w:p>
      <w:pPr>
        <w:pStyle w:val="BodyText"/>
      </w:pPr>
      <w:r>
        <w:t xml:space="preserve">San Isidro, Lima, Peru</w:t>
      </w:r>
    </w:p>
    <w:p>
      <w:pPr>
        <w:pStyle w:val="BodyText"/>
      </w:pPr>
      <w:r>
        <w:t xml:space="preserve">RUC: 20587432196</w:t>
      </w:r>
    </w:p>
    <w:p>
      <w:pPr>
        <w:pStyle w:val="BodyText"/>
      </w:pPr>
      <w:r>
        <w:t xml:space="preserve">Phone: +51 1 445-7823</w:t>
      </w:r>
    </w:p>
    <w:p>
      <w:pPr>
        <w:pStyle w:val="BodyText"/>
      </w:pPr>
      <w:r>
        <w:t xml:space="preserve">Email: billing@andespolitical.pe</w:t>
      </w:r>
    </w:p>
    <w:bookmarkEnd w:id="20"/>
    <w:bookmarkStart w:id="21" w:name="invoice"/>
    <w:p>
      <w:pPr>
        <w:pStyle w:val="Heading2"/>
      </w:pPr>
      <w:r>
        <w:t xml:space="preserve">INVOICE</w:t>
      </w:r>
    </w:p>
    <w:p>
      <w:pPr>
        <w:pStyle w:val="FirstParagraph"/>
      </w:pPr>
      <w:r>
        <w:t xml:space="preserve">Invoice No.: APG-2025-00487</w:t>
      </w:r>
    </w:p>
    <w:p>
      <w:pPr>
        <w:pStyle w:val="BodyText"/>
      </w:pPr>
      <w:r>
        <w:t xml:space="preserve">Date of Issue: June 15, 2025</w:t>
      </w:r>
    </w:p>
    <w:p>
      <w:pPr>
        <w:pStyle w:val="BodyText"/>
      </w:pPr>
      <w:r>
        <w:t xml:space="preserve">Due Date: July 15, 2025</w:t>
      </w:r>
    </w:p>
    <w:p>
      <w:pPr>
        <w:pStyle w:val="BodyText"/>
      </w:pPr>
      <w:r>
        <w:t xml:space="preserve">PENDING PAYMENT</w:t>
      </w:r>
    </w:p>
    <w:bookmarkEnd w:id="21"/>
    <w:bookmarkStart w:id="22" w:name="billed-to-client"/>
    <w:p>
      <w:pPr>
        <w:pStyle w:val="Heading3"/>
      </w:pPr>
      <w:r>
        <w:t xml:space="preserve">Billed To (Client)</w:t>
      </w:r>
    </w:p>
    <w:p>
      <w:pPr>
        <w:pStyle w:val="FirstParagraph"/>
      </w:pPr>
      <w:r>
        <w:t xml:space="preserve">Politician Name:</w:t>
      </w:r>
      <w:r>
        <w:t xml:space="preserve"> </w:t>
      </w:r>
      <w:r>
        <w:t xml:space="preserve">Hon. Ricardo Mendoza Salazar</w:t>
      </w:r>
    </w:p>
    <w:p>
      <w:pPr>
        <w:pStyle w:val="BodyText"/>
      </w:pPr>
      <w:r>
        <w:t xml:space="preserve">Position:</w:t>
      </w:r>
      <w:r>
        <w:t xml:space="preserve"> </w:t>
      </w:r>
      <w:r>
        <w:t xml:space="preserve">Municipal Councillor, Lima Metropolitan District</w:t>
      </w:r>
    </w:p>
    <w:p>
      <w:pPr>
        <w:pStyle w:val="BodyText"/>
      </w:pPr>
      <w:r>
        <w:t xml:space="preserve">Office:</w:t>
      </w:r>
      <w:r>
        <w:t xml:space="preserve"> </w:t>
      </w:r>
      <w:r>
        <w:t xml:space="preserve">Municipal Palace of Lima, Jr. de la Unión 1001</w:t>
      </w:r>
    </w:p>
    <w:p>
      <w:pPr>
        <w:pStyle w:val="BodyText"/>
      </w:pPr>
      <w:r>
        <w:t xml:space="preserve">District:</w:t>
      </w:r>
      <w:r>
        <w:t xml:space="preserve"> </w:t>
      </w:r>
      <w:r>
        <w:t xml:space="preserve">San Miguel, Lima, Peru</w:t>
      </w:r>
    </w:p>
    <w:p>
      <w:pPr>
        <w:pStyle w:val="BodyText"/>
      </w:pPr>
      <w:r>
        <w:t xml:space="preserve">DNI:</w:t>
      </w:r>
      <w:r>
        <w:t xml:space="preserve"> </w:t>
      </w:r>
      <w:r>
        <w:t xml:space="preserve">45872316</w:t>
      </w:r>
    </w:p>
    <w:p>
      <w:pPr>
        <w:pStyle w:val="BodyText"/>
      </w:pPr>
      <w:r>
        <w:t xml:space="preserve">Political Party:</w:t>
      </w:r>
      <w:r>
        <w:t xml:space="preserve"> </w:t>
      </w:r>
      <w:r>
        <w:t xml:space="preserve">Partido por el Progreso de Lima</w:t>
      </w:r>
    </w:p>
    <w:bookmarkEnd w:id="22"/>
    <w:bookmarkStart w:id="23" w:name="invoice-details"/>
    <w:p>
      <w:pPr>
        <w:pStyle w:val="Heading3"/>
      </w:pPr>
      <w:r>
        <w:t xml:space="preserve">Invoice Details</w:t>
      </w:r>
    </w:p>
    <w:p>
      <w:pPr>
        <w:pStyle w:val="FirstParagraph"/>
      </w:pPr>
      <w:r>
        <w:t xml:space="preserve">Service Period:</w:t>
      </w:r>
      <w:r>
        <w:t xml:space="preserve"> </w:t>
      </w:r>
      <w:r>
        <w:t xml:space="preserve">May 1 – May 31, 2025</w:t>
      </w:r>
    </w:p>
    <w:p>
      <w:pPr>
        <w:pStyle w:val="BodyText"/>
      </w:pPr>
      <w:r>
        <w:t xml:space="preserve">Currency:</w:t>
      </w:r>
      <w:r>
        <w:t xml:space="preserve"> </w:t>
      </w:r>
      <w:r>
        <w:t xml:space="preserve">Peruvian Sol (PEN / S/)</w:t>
      </w:r>
    </w:p>
    <w:p>
      <w:pPr>
        <w:pStyle w:val="BodyText"/>
      </w:pPr>
      <w:r>
        <w:t xml:space="preserve">Payment Method:</w:t>
      </w:r>
      <w:r>
        <w:t xml:space="preserve"> </w:t>
      </w:r>
      <w:r>
        <w:t xml:space="preserve">Bank Transfer (BCP)</w:t>
      </w:r>
    </w:p>
    <w:p>
      <w:pPr>
        <w:pStyle w:val="BodyText"/>
      </w:pPr>
      <w:r>
        <w:t xml:space="preserve">Account No.:</w:t>
      </w:r>
      <w:r>
        <w:t xml:space="preserve"> </w:t>
      </w:r>
      <w:r>
        <w:t xml:space="preserve">191-18765432-19</w:t>
      </w:r>
    </w:p>
    <w:p>
      <w:pPr>
        <w:pStyle w:val="BodyText"/>
      </w:pPr>
      <w:r>
        <w:t xml:space="preserve">Reference:</w:t>
      </w:r>
      <w:r>
        <w:t xml:space="preserve"> </w:t>
      </w:r>
      <w:r>
        <w:t xml:space="preserve">APG-2025-00487</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 Rendered</w:t>
            </w:r>
          </w:p>
        </w:tc>
        <w:tc>
          <w:tcPr/>
          <w:p>
            <w:pPr>
              <w:pStyle w:val="Compact"/>
              <w:jc w:val="left"/>
            </w:pPr>
            <w:r>
              <w:t xml:space="preserve">Quantity</w:t>
            </w:r>
          </w:p>
        </w:tc>
        <w:tc>
          <w:tcPr/>
          <w:p>
            <w:pPr>
              <w:pStyle w:val="Compact"/>
              <w:jc w:val="left"/>
            </w:pPr>
            <w:r>
              <w:t xml:space="preserve">Unit Rate (S/)</w:t>
            </w:r>
          </w:p>
        </w:tc>
        <w:tc>
          <w:tcPr/>
          <w:p>
            <w:pPr>
              <w:pStyle w:val="Compact"/>
              <w:jc w:val="left"/>
            </w:pPr>
            <w:r>
              <w:t xml:space="preserve">Amount (S/)</w:t>
            </w:r>
          </w:p>
        </w:tc>
      </w:tr>
      <w:tr>
        <w:tc>
          <w:tcPr/>
          <w:p>
            <w:pPr>
              <w:pStyle w:val="Compact"/>
              <w:jc w:val="left"/>
            </w:pPr>
            <w:r>
              <w:t xml:space="preserve">1</w:t>
            </w:r>
          </w:p>
        </w:tc>
        <w:tc>
          <w:tcPr/>
          <w:p>
            <w:pPr>
              <w:pStyle w:val="Compact"/>
              <w:jc w:val="left"/>
            </w:pPr>
            <w:r>
              <w:t xml:space="preserve">Strategic political communications consulting for the Politician's public image management, including press release drafting, media training sessions, and crisis communication protocols tailored to the Lima metropolitan political landscape.</w:t>
            </w:r>
          </w:p>
        </w:tc>
        <w:tc>
          <w:tcPr/>
          <w:p>
            <w:pPr>
              <w:pStyle w:val="Compact"/>
              <w:jc w:val="left"/>
            </w:pPr>
            <w:r>
              <w:t xml:space="preserve">40 hrs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t xml:space="preserve">Public opinion polling and electoral data analysis for the Politician's upcoming re-election campaign in the Lima district. Includes survey design, fieldwork coordination across 12 Lima districts, and comprehensive statistical reporting.</w:t>
            </w:r>
          </w:p>
        </w:tc>
        <w:tc>
          <w:tcPr/>
          <w:p>
            <w:pPr>
              <w:pStyle w:val="Compact"/>
              <w:jc w:val="left"/>
            </w:pPr>
            <w:r>
              <w:t xml:space="preserve">1 project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3</w:t>
            </w:r>
          </w:p>
        </w:tc>
        <w:tc>
          <w:tcPr/>
          <w:p>
            <w:pPr>
              <w:pStyle w:val="Compact"/>
              <w:jc w:val="left"/>
            </w:pPr>
            <w:r>
              <w:t xml:space="preserve">Digital campaign management and social media strategy for the Politician's official channels. Content creation, audience segmentation, paid advertising campaigns on major platforms, and weekly performance analytics reports for the Lima electorate.</w:t>
            </w:r>
          </w:p>
        </w:tc>
        <w:tc>
          <w:tcPr/>
          <w:p>
            <w:pPr>
              <w:pStyle w:val="Compact"/>
              <w:jc w:val="left"/>
            </w:pPr>
            <w:r>
              <w:t xml:space="preserve">30 days</w:t>
            </w:r>
          </w:p>
        </w:tc>
        <w:tc>
          <w:tcPr/>
          <w:p>
            <w:pPr>
              <w:pStyle w:val="Compact"/>
              <w:jc w:val="left"/>
            </w:pPr>
            <w:r>
              <w:t xml:space="preserve">320.00</w:t>
            </w:r>
          </w:p>
        </w:tc>
        <w:tc>
          <w:tcPr/>
          <w:p>
            <w:pPr>
              <w:pStyle w:val="Compact"/>
              <w:jc w:val="left"/>
            </w:pPr>
            <w:r>
              <w:t xml:space="preserve">9,600.00</w:t>
            </w:r>
          </w:p>
        </w:tc>
      </w:tr>
      <w:tr>
        <w:tc>
          <w:tcPr/>
          <w:p>
            <w:pPr>
              <w:pStyle w:val="Compact"/>
              <w:jc w:val="left"/>
            </w:pPr>
            <w:r>
              <w:t xml:space="preserve">4</w:t>
            </w:r>
          </w:p>
        </w:tc>
        <w:tc>
          <w:tcPr/>
          <w:p>
            <w:pPr>
              <w:pStyle w:val="Compact"/>
              <w:jc w:val="left"/>
            </w:pPr>
            <w:r>
              <w:t xml:space="preserve">Legislative briefing and policy research support. Preparation of technical dossiers, comparative analysis of municipal ordinances, and advisory memoranda for the Politician's committee work in the Lima Municipal Council.</w:t>
            </w:r>
          </w:p>
        </w:tc>
        <w:tc>
          <w:tcPr/>
          <w:p>
            <w:pPr>
              <w:pStyle w:val="Compact"/>
              <w:jc w:val="left"/>
            </w:pPr>
            <w:r>
              <w:t xml:space="preserve">25 hrs</w:t>
            </w:r>
          </w:p>
        </w:tc>
        <w:tc>
          <w:tcPr/>
          <w:p>
            <w:pPr>
              <w:pStyle w:val="Compact"/>
              <w:jc w:val="left"/>
            </w:pPr>
            <w:r>
              <w:t xml:space="preserve">210.00</w:t>
            </w:r>
          </w:p>
        </w:tc>
        <w:tc>
          <w:tcPr/>
          <w:p>
            <w:pPr>
              <w:pStyle w:val="Compact"/>
              <w:jc w:val="left"/>
            </w:pPr>
            <w:r>
              <w:t xml:space="preserve">5,250.00</w:t>
            </w:r>
          </w:p>
        </w:tc>
      </w:tr>
      <w:tr>
        <w:tc>
          <w:tcPr/>
          <w:p>
            <w:pPr>
              <w:pStyle w:val="Compact"/>
              <w:jc w:val="left"/>
            </w:pPr>
            <w:r>
              <w:t xml:space="preserve">5</w:t>
            </w:r>
          </w:p>
        </w:tc>
        <w:tc>
          <w:tcPr/>
          <w:p>
            <w:pPr>
              <w:pStyle w:val="Compact"/>
              <w:jc w:val="left"/>
            </w:pPr>
            <w:r>
              <w:t xml:space="preserve">Event coordination and logistics for three (3) public town hall meetings held in Lima. Includes venue management, audiovisual production, voter engagement activities, and post-event sentiment analysis for the Politician's constituency.</w:t>
            </w:r>
          </w:p>
        </w:tc>
        <w:tc>
          <w:tcPr/>
          <w:p>
            <w:pPr>
              <w:pStyle w:val="Compact"/>
              <w:jc w:val="left"/>
            </w:pPr>
            <w:r>
              <w:t xml:space="preserve">3 events</w:t>
            </w:r>
          </w:p>
        </w:tc>
        <w:tc>
          <w:tcPr/>
          <w:p>
            <w:pPr>
              <w:pStyle w:val="Compact"/>
              <w:jc w:val="left"/>
            </w:pPr>
            <w:r>
              <w:t xml:space="preserve">4,800.00</w:t>
            </w:r>
          </w:p>
        </w:tc>
        <w:tc>
          <w:tcPr/>
          <w:p>
            <w:pPr>
              <w:pStyle w:val="Compact"/>
              <w:jc w:val="left"/>
            </w:pPr>
            <w:r>
              <w:t xml:space="preserve">14,400.00</w:t>
            </w:r>
          </w:p>
        </w:tc>
      </w:tr>
      <w:tr>
        <w:tc>
          <w:tcPr/>
          <w:p>
            <w:pPr>
              <w:pStyle w:val="Compact"/>
              <w:jc w:val="left"/>
            </w:pPr>
            <w:r>
              <w:t xml:space="preserve">6</w:t>
            </w:r>
          </w:p>
        </w:tc>
        <w:tc>
          <w:tcPr/>
          <w:p>
            <w:pPr>
              <w:pStyle w:val="Compact"/>
              <w:jc w:val="left"/>
            </w:pPr>
            <w:r>
              <w:t xml:space="preserve">Legal compliance review and political finance advisory. Ensuring all campaign expenditures and political donations comply with the regulations of the JNE (Jurado Nacional de Elecciones) and the political financing law applicable in Peru.</w:t>
            </w:r>
          </w:p>
        </w:tc>
        <w:tc>
          <w:tcPr/>
          <w:p>
            <w:pPr>
              <w:pStyle w:val="Compact"/>
              <w:jc w:val="left"/>
            </w:pPr>
            <w:r>
              <w:t xml:space="preserve">10 hrs</w:t>
            </w:r>
          </w:p>
        </w:tc>
        <w:tc>
          <w:tcPr/>
          <w:p>
            <w:pPr>
              <w:pStyle w:val="Compact"/>
              <w:jc w:val="left"/>
            </w:pPr>
            <w:r>
              <w:t xml:space="preserve">250.00</w:t>
            </w:r>
          </w:p>
        </w:tc>
        <w:tc>
          <w:tcPr/>
          <w:p>
            <w:pPr>
              <w:pStyle w:val="Compact"/>
              <w:jc w:val="left"/>
            </w:pPr>
            <w:r>
              <w:t xml:space="preserve">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S/ 51,650.00</w:t>
            </w:r>
          </w:p>
        </w:tc>
      </w:tr>
      <w:tr>
        <w:tc>
          <w:tcPr/>
          <w:p>
            <w:pPr>
              <w:pStyle w:val="Compact"/>
              <w:jc w:val="left"/>
            </w:pPr>
            <w:r>
              <w:t xml:space="preserve">IGV (18% VAT - Peru)</w:t>
            </w:r>
          </w:p>
        </w:tc>
        <w:tc>
          <w:tcPr/>
          <w:p>
            <w:pPr>
              <w:pStyle w:val="Compact"/>
              <w:jc w:val="left"/>
            </w:pPr>
            <w:r>
              <w:t xml:space="preserve">S/ 9,297.00</w:t>
            </w:r>
          </w:p>
        </w:tc>
      </w:tr>
      <w:tr>
        <w:tc>
          <w:tcPr/>
          <w:p>
            <w:pPr>
              <w:pStyle w:val="Compact"/>
              <w:jc w:val="left"/>
            </w:pPr>
            <w:r>
              <w:t xml:space="preserve">Discount (Loyal Client 5%)</w:t>
            </w:r>
          </w:p>
        </w:tc>
        <w:tc>
          <w:tcPr/>
          <w:p>
            <w:pPr>
              <w:pStyle w:val="Compact"/>
              <w:jc w:val="left"/>
            </w:pPr>
            <w:r>
              <w:t xml:space="preserve">- S/ 2,582.50</w:t>
            </w:r>
          </w:p>
        </w:tc>
      </w:tr>
      <w:tr>
        <w:tc>
          <w:tcPr/>
          <w:p>
            <w:pPr>
              <w:pStyle w:val="Compact"/>
              <w:jc w:val="left"/>
            </w:pPr>
            <w:r>
              <w:t xml:space="preserve">TOTAL DUE</w:t>
            </w:r>
          </w:p>
        </w:tc>
        <w:tc>
          <w:tcPr/>
          <w:p>
            <w:pPr>
              <w:pStyle w:val="Compact"/>
              <w:jc w:val="left"/>
            </w:pPr>
            <w:r>
              <w:t xml:space="preserve">S/ 58,364.50</w:t>
            </w:r>
          </w:p>
        </w:tc>
      </w:tr>
    </w:tbl>
    <w:bookmarkStart w:id="24" w:name="important-notes-payment-terms"/>
    <w:p>
      <w:pPr>
        <w:pStyle w:val="Heading3"/>
      </w:pPr>
      <w:r>
        <w:t xml:space="preserve">Important Notes &amp; Payment Terms</w:t>
      </w:r>
    </w:p>
    <w:p>
      <w:pPr>
        <w:pStyle w:val="FirstParagraph"/>
      </w:pPr>
      <w:r>
        <w:t xml:space="preserve">This Invoice is issued in accordance with the political consulting agreement (Contract No. APG-CON-2025-0112) signed between Andes Political Strategy Group and the Politician, Hon. Ricardo Mendoza Salazar, for professional services rendered in Lima, Peru.</w:t>
      </w:r>
    </w:p>
    <w:p>
      <w:pPr>
        <w:numPr>
          <w:ilvl w:val="0"/>
          <w:numId w:val="1001"/>
        </w:numPr>
        <w:pStyle w:val="Compact"/>
      </w:pPr>
      <w:r>
        <w:t xml:space="preserve">Payment is due within thirty (30) calendar days from the date of this Invoice. Late payments will incur a monthly interest rate of 1.5% as stipulated in the service contract.</w:t>
      </w:r>
    </w:p>
    <w:p>
      <w:pPr>
        <w:numPr>
          <w:ilvl w:val="0"/>
          <w:numId w:val="1001"/>
        </w:numPr>
        <w:pStyle w:val="Compact"/>
      </w:pPr>
      <w:r>
        <w:t xml:space="preserve">All amounts are expressed in Peruvian Soles (PEN). This Invoice is subject to the 18% IGV (Impuesto General a las Ventas) as mandated by the SUNAT tax authority in Peru.</w:t>
      </w:r>
    </w:p>
    <w:p>
      <w:pPr>
        <w:numPr>
          <w:ilvl w:val="0"/>
          <w:numId w:val="1001"/>
        </w:numPr>
        <w:pStyle w:val="Compact"/>
      </w:pPr>
      <w:r>
        <w:t xml:space="preserve">The Politician acknowledges that all deliverables, reports, and strategic materials produced under this engagement remain the intellectual property of the Politician upon full settlement of this Invoice.</w:t>
      </w:r>
    </w:p>
    <w:p>
      <w:pPr>
        <w:numPr>
          <w:ilvl w:val="0"/>
          <w:numId w:val="1001"/>
        </w:numPr>
        <w:pStyle w:val="Compact"/>
      </w:pPr>
      <w:r>
        <w:t xml:space="preserve">Political finance disclosures: In compliance with Peruvian electoral law (Ley N° 30542), the Politician is responsible for reporting this expenditure in the corresponding political financing statements filed with the JNE.</w:t>
      </w:r>
    </w:p>
    <w:p>
      <w:pPr>
        <w:numPr>
          <w:ilvl w:val="0"/>
          <w:numId w:val="1001"/>
        </w:numPr>
        <w:pStyle w:val="Compact"/>
      </w:pPr>
      <w:r>
        <w:t xml:space="preserve">For questions regarding this Invoice, please contact our billing department at billing@andespolitical.pe or call +51 1 445-7823, Monday through Friday, 9:00 AM to 5:30 PM (Lima time, PET - UTC-5).</w:t>
      </w:r>
    </w:p>
    <w:p>
      <w:pPr>
        <w:numPr>
          <w:ilvl w:val="0"/>
          <w:numId w:val="1001"/>
        </w:numPr>
        <w:pStyle w:val="Compact"/>
      </w:pPr>
      <w:r>
        <w:t xml:space="preserve">This Invoice does not constitute a political endorsement. Andes Political Strategy Group operates as a neutral professional services firm and does not align with any political party, candidate, or political movement in Lima or Peru.</w:t>
      </w:r>
    </w:p>
    <w:bookmarkEnd w:id="24"/>
    <w:p>
      <w:pPr>
        <w:pStyle w:val="FirstParagraph"/>
      </w:pPr>
      <w:r>
        <w:rPr>
          <w:bCs/>
          <w:b/>
        </w:rPr>
        <w:t xml:space="preserve">Andes Political Strategy Group S.A.C.</w:t>
      </w:r>
      <w:r>
        <w:t xml:space="preserve"> </w:t>
      </w:r>
      <w:r>
        <w:t xml:space="preserve">| RUC: 20587432196 | Av. Javier Prado Este 1250, San Isidro, Lima, Peru</w:t>
      </w:r>
    </w:p>
    <w:p>
      <w:pPr>
        <w:pStyle w:val="BodyText"/>
      </w:pPr>
      <w:r>
        <w:t xml:space="preserve">This Invoice was generated electronically and is valid without a physical signature in accordance with Peruvian commercial law.</w:t>
      </w:r>
    </w:p>
    <w:p>
      <w:pPr>
        <w:pStyle w:val="BodyText"/>
      </w:pPr>
      <w:r>
        <w:t xml:space="preserve">Document Reference: APG-2025-00487 | Generated: June 15, 2025 | Page 1 of 1</w:t>
      </w:r>
    </w:p>
    <w:p>
      <w:pPr>
        <w:pStyle w:val="BodyText"/>
      </w:pPr>
      <w:r>
        <w:t xml:space="preserve">© 2025 Andes Political Strategy Group. All rights reserved. This Invoice is the property of the issuing entity and the Politician client named herein.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Political Consulting Services - Lima, Peru</dc:title>
  <dc:creator/>
  <dc:language>en</dc:language>
  <cp:keywords/>
  <dcterms:created xsi:type="dcterms:W3CDTF">2026-10-10T08:34:00Z</dcterms:created>
  <dcterms:modified xsi:type="dcterms:W3CDTF">2026-10-10T08:34:00Z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