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Philippines</w:t>
      </w:r>
      <w:r>
        <w:t xml:space="preserve"> </w:t>
      </w:r>
      <w:r>
        <w:t xml:space="preserve">Manila</w:t>
      </w:r>
    </w:p>
    <w:p>
      <w:pPr>
        <w:pStyle w:val="FirstParagraph"/>
      </w:pPr>
      <w:r>
        <w:t xml:space="preserve">Official Invoice</w:t>
      </w:r>
    </w:p>
    <w:p>
      <w:pPr>
        <w:pStyle w:val="BodyText"/>
      </w:pPr>
      <w:r>
        <w:t xml:space="preserve">INVOICE</w:t>
      </w:r>
    </w:p>
    <w:p>
      <w:pPr>
        <w:pStyle w:val="BodyText"/>
      </w:pPr>
      <w:r>
        <w:t xml:space="preserve">Political Advisory &amp; Campaign Consultancy Services</w:t>
      </w:r>
    </w:p>
    <w:p>
      <w:pPr>
        <w:pStyle w:val="BodyText"/>
      </w:pPr>
      <w:r>
        <w:rPr>
          <w:bCs/>
          <w:b/>
        </w:rPr>
        <w:t xml:space="preserve">Invoice No.:</w:t>
      </w:r>
      <w:r>
        <w:t xml:space="preserve"> </w:t>
      </w:r>
      <w:r>
        <w:t xml:space="preserve">PHL-MNL-2025-04871</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Philippine Peso (PHP)</w:t>
      </w:r>
    </w:p>
    <w:bookmarkStart w:id="20" w:name="issued-by-service-provider"/>
    <w:p>
      <w:pPr>
        <w:pStyle w:val="Heading3"/>
      </w:pPr>
      <w:r>
        <w:t xml:space="preserve">Issued By (Service Provider)</w:t>
      </w:r>
    </w:p>
    <w:p>
      <w:pPr>
        <w:pStyle w:val="FirstParagraph"/>
      </w:pPr>
      <w:r>
        <w:rPr>
          <w:bCs/>
          <w:b/>
        </w:rPr>
        <w:t xml:space="preserve">Manila Political Strategy Group, Inc.</w:t>
      </w:r>
    </w:p>
    <w:p>
      <w:pPr>
        <w:pStyle w:val="BodyText"/>
      </w:pPr>
      <w:r>
        <w:t xml:space="preserve">Unit 1204, Ayala Center Tower 2</w:t>
      </w:r>
    </w:p>
    <w:p>
      <w:pPr>
        <w:pStyle w:val="BodyText"/>
      </w:pPr>
      <w:r>
        <w:t xml:space="preserve">1201 Makati Avenue, Makati City</w:t>
      </w:r>
    </w:p>
    <w:p>
      <w:pPr>
        <w:pStyle w:val="BodyText"/>
      </w:pPr>
      <w:r>
        <w:t xml:space="preserve">Philippines Manila, Metro Manila 1226</w:t>
      </w:r>
    </w:p>
    <w:p>
      <w:pPr>
        <w:pStyle w:val="BodyText"/>
      </w:pPr>
      <w:r>
        <w:t xml:space="preserve">Tel: +63 (2) 8887-4521</w:t>
      </w:r>
    </w:p>
    <w:p>
      <w:pPr>
        <w:pStyle w:val="BodyText"/>
      </w:pPr>
      <w:r>
        <w:t xml:space="preserve">Email: billing@manilapoliticalstrategy.ph</w:t>
      </w:r>
    </w:p>
    <w:p>
      <w:pPr>
        <w:pStyle w:val="BodyText"/>
      </w:pPr>
      <w:r>
        <w:t xml:space="preserve">TIN: 000-123-456-000</w:t>
      </w:r>
    </w:p>
    <w:p>
      <w:pPr>
        <w:pStyle w:val="BodyText"/>
      </w:pPr>
      <w:r>
        <w:t xml:space="preserve">DTI Reg. No.: 2019-04567890</w:t>
      </w:r>
    </w:p>
    <w:bookmarkEnd w:id="20"/>
    <w:bookmarkStart w:id="21" w:name="issued-to-client-politician"/>
    <w:p>
      <w:pPr>
        <w:pStyle w:val="Heading3"/>
      </w:pPr>
      <w:r>
        <w:t xml:space="preserve">Issued To (Client / Politician)</w:t>
      </w:r>
    </w:p>
    <w:p>
      <w:pPr>
        <w:pStyle w:val="FirstParagraph"/>
      </w:pPr>
      <w:r>
        <w:rPr>
          <w:bCs/>
          <w:b/>
        </w:rPr>
        <w:t xml:space="preserve">Hon. Senator Maria Elena R. Villanueva</w:t>
      </w:r>
    </w:p>
    <w:p>
      <w:pPr>
        <w:pStyle w:val="BodyText"/>
      </w:pPr>
      <w:r>
        <w:t xml:space="preserve">Office of the Senator, Senate Building</w:t>
      </w:r>
    </w:p>
    <w:p>
      <w:pPr>
        <w:pStyle w:val="BodyText"/>
      </w:pPr>
      <w:r>
        <w:t xml:space="preserve">Malacañang Compound, Intramuros</w:t>
      </w:r>
    </w:p>
    <w:p>
      <w:pPr>
        <w:pStyle w:val="BodyText"/>
      </w:pPr>
      <w:r>
        <w:t xml:space="preserve">Philippines Manila, 1000</w:t>
      </w:r>
    </w:p>
    <w:p>
      <w:pPr>
        <w:pStyle w:val="BodyText"/>
      </w:pPr>
      <w:r>
        <w:t xml:space="preserve">Tel: +63 (2) 8230-1100</w:t>
      </w:r>
    </w:p>
    <w:p>
      <w:pPr>
        <w:pStyle w:val="BodyText"/>
      </w:pPr>
      <w:r>
        <w:t xml:space="preserve">Email: office@senatorvillanueva.ph</w:t>
      </w:r>
    </w:p>
    <w:p>
      <w:pPr>
        <w:pStyle w:val="BodyText"/>
      </w:pPr>
      <w:r>
        <w:t xml:space="preserve">TIN: 000-987-654-000</w:t>
      </w:r>
    </w:p>
    <w:p>
      <w:pPr>
        <w:pStyle w:val="BodyText"/>
      </w:pPr>
      <w:r>
        <w:t xml:space="preserve">Political Party: Nacionalista Party</w:t>
      </w:r>
    </w:p>
    <w:bookmarkEnd w:id="21"/>
    <w:bookmarkStart w:id="23" w:name="Xa530ec045fe747807206d12254e5284250ab278"/>
    <w:p>
      <w:pPr>
        <w:pStyle w:val="Heading2"/>
      </w:pPr>
      <w:r>
        <w:t xml:space="preserve">Invoice Details – Services Rendered to the Politician</w:t>
      </w:r>
    </w:p>
    <w:p>
      <w:pPr>
        <w:pStyle w:val="FirstParagraph"/>
      </w:pPr>
      <w:r>
        <w:t xml:space="preserve">This Invoice covers professional political advisory, campaign strategy, and public relations consultancy services provided to the Politician for the 2025 Philippine midterm election cycle in the Philippines Manila region and surrounding provinces.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Comprehensive Political Campaign Strategy Development for the Politician's 2025 Senate re-election bid, including voter demographic analysis, polling data interpretation, and messaging framework tailored to the Philippines Manila electorate.</w:t>
            </w:r>
          </w:p>
        </w:tc>
        <w:tc>
          <w:tcPr/>
          <w:p>
            <w:pPr>
              <w:pStyle w:val="Compact"/>
              <w:jc w:val="left"/>
            </w:pPr>
            <w:r>
              <w:t xml:space="preserve">Jan 2025 – Mar 2025</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Public Relations and Media Relations Management for the Politician, encompassing press conference coordination, media briefing preparation, op-ed ghostwriting, and crisis communication protocols across all major Philippine news outlets in Manila.</w:t>
            </w:r>
          </w:p>
        </w:tc>
        <w:tc>
          <w:tcPr/>
          <w:p>
            <w:pPr>
              <w:pStyle w:val="Compact"/>
              <w:jc w:val="left"/>
            </w:pPr>
            <w:r>
              <w:t xml:space="preserve">Feb 2025 – May 2025</w:t>
            </w:r>
          </w:p>
        </w:tc>
        <w:tc>
          <w:tcPr/>
          <w:p>
            <w:pPr>
              <w:pStyle w:val="Compact"/>
              <w:jc w:val="left"/>
            </w:pPr>
            <w:r>
              <w:t xml:space="preserve">4</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3</w:t>
            </w:r>
          </w:p>
        </w:tc>
        <w:tc>
          <w:tcPr/>
          <w:p>
            <w:pPr>
              <w:pStyle w:val="Compact"/>
              <w:jc w:val="left"/>
            </w:pPr>
            <w:r>
              <w:t xml:space="preserve">Digital Campaign and Social Media Strategy for the Politician, including content calendar development, paid advertising campaign management on Facebook, TikTok, and YouTube, and real-time sentiment monitoring across the Philippines Manila digital landscape.</w:t>
            </w:r>
          </w:p>
        </w:tc>
        <w:tc>
          <w:tcPr/>
          <w:p>
            <w:pPr>
              <w:pStyle w:val="Compact"/>
              <w:jc w:val="left"/>
            </w:pPr>
            <w:r>
              <w:t xml:space="preserve">Mar 2025 – Jun 2025</w:t>
            </w:r>
          </w:p>
        </w:tc>
        <w:tc>
          <w:tcPr/>
          <w:p>
            <w:pPr>
              <w:pStyle w:val="Compact"/>
              <w:jc w:val="left"/>
            </w:pPr>
            <w:r>
              <w:t xml:space="preserve">4</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4</w:t>
            </w:r>
          </w:p>
        </w:tc>
        <w:tc>
          <w:tcPr/>
          <w:p>
            <w:pPr>
              <w:pStyle w:val="Compact"/>
              <w:jc w:val="left"/>
            </w:pPr>
            <w:r>
              <w:t xml:space="preserve">Constituent Engagement and Community Outreach Program Design for the Politician, involving the planning and execution of barangay-level town halls, policy forums, and voter registration drives across 16 districts in the Philippines Manila metropolitan area.</w:t>
            </w:r>
          </w:p>
        </w:tc>
        <w:tc>
          <w:tcPr/>
          <w:p>
            <w:pPr>
              <w:pStyle w:val="Compact"/>
              <w:jc w:val="left"/>
            </w:pPr>
            <w:r>
              <w:t xml:space="preserve">Apr 2025 – Jun 2025</w:t>
            </w:r>
          </w:p>
        </w:tc>
        <w:tc>
          <w:tcPr/>
          <w:p>
            <w:pPr>
              <w:pStyle w:val="Compact"/>
              <w:jc w:val="left"/>
            </w:pPr>
            <w:r>
              <w:t xml:space="preserve">12</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5</w:t>
            </w:r>
          </w:p>
        </w:tc>
        <w:tc>
          <w:tcPr/>
          <w:p>
            <w:pPr>
              <w:pStyle w:val="Compact"/>
              <w:jc w:val="left"/>
            </w:pPr>
            <w:r>
              <w:t xml:space="preserve">Policy Briefing and Legislative Advisory Support for the Politician, providing research-backed policy position papers, legislative impact assessments, and briefing materials for Senate committee hearings and plenary sessions held in the Philippines Manila legislative district.</w:t>
            </w:r>
          </w:p>
        </w:tc>
        <w:tc>
          <w:tcPr/>
          <w:p>
            <w:pPr>
              <w:pStyle w:val="Compact"/>
              <w:jc w:val="left"/>
            </w:pPr>
            <w:r>
              <w:t xml:space="preserve">Jan 2025 – Jun 2025</w:t>
            </w:r>
          </w:p>
        </w:tc>
        <w:tc>
          <w:tcPr/>
          <w:p>
            <w:pPr>
              <w:pStyle w:val="Compact"/>
              <w:jc w:val="left"/>
            </w:pPr>
            <w:r>
              <w:t xml:space="preserve">6</w:t>
            </w:r>
          </w:p>
        </w:tc>
        <w:tc>
          <w:tcPr/>
          <w:p>
            <w:pPr>
              <w:pStyle w:val="Compact"/>
              <w:jc w:val="left"/>
            </w:pPr>
            <w:r>
              <w:t xml:space="preserve">75,000.00</w:t>
            </w:r>
          </w:p>
        </w:tc>
        <w:tc>
          <w:tcPr/>
          <w:p>
            <w:pPr>
              <w:pStyle w:val="Compact"/>
              <w:jc w:val="left"/>
            </w:pPr>
            <w:r>
              <w:t xml:space="preserve">450,000.00</w:t>
            </w:r>
          </w:p>
        </w:tc>
      </w:tr>
      <w:tr>
        <w:tc>
          <w:tcPr/>
          <w:p>
            <w:pPr>
              <w:pStyle w:val="Compact"/>
              <w:jc w:val="left"/>
            </w:pPr>
            <w:r>
              <w:t xml:space="preserve">6</w:t>
            </w:r>
          </w:p>
        </w:tc>
        <w:tc>
          <w:tcPr/>
          <w:p>
            <w:pPr>
              <w:pStyle w:val="Compact"/>
              <w:jc w:val="left"/>
            </w:pPr>
            <w:r>
              <w:t xml:space="preserve">Debate Preparation and Political Discourse Training for the Politician, including mock debate sessions, Q&amp;A rehearsal, body language coaching, and counter-argument strategy development for the official COMELEC-sanctioned senatorial debates in Manila.</w:t>
            </w:r>
          </w:p>
        </w:tc>
        <w:tc>
          <w:tcPr/>
          <w:p>
            <w:pPr>
              <w:pStyle w:val="Compact"/>
              <w:jc w:val="left"/>
            </w:pPr>
            <w:r>
              <w:t xml:space="preserve">May 2025 – Jun 2025</w:t>
            </w:r>
          </w:p>
        </w:tc>
        <w:tc>
          <w:tcPr/>
          <w:p>
            <w:pPr>
              <w:pStyle w:val="Compact"/>
              <w:jc w:val="left"/>
            </w:pPr>
            <w:r>
              <w:t xml:space="preserve">8</w:t>
            </w:r>
          </w:p>
        </w:tc>
        <w:tc>
          <w:tcPr/>
          <w:p>
            <w:pPr>
              <w:pStyle w:val="Compact"/>
              <w:jc w:val="left"/>
            </w:pPr>
            <w:r>
              <w:t xml:space="preserve">45,000.00</w:t>
            </w:r>
          </w:p>
        </w:tc>
        <w:tc>
          <w:tcPr/>
          <w:p>
            <w:pPr>
              <w:pStyle w:val="Compact"/>
              <w:jc w:val="left"/>
            </w:pPr>
            <w:r>
              <w:t xml:space="preserve">360,000.00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(PHP)</w:t>
            </w:r>
          </w:p>
        </w:tc>
      </w:tr>
      <w:tr>
        <w:tc>
          <w:tcPr/>
          <w:p>
            <w:pPr>
              <w:pStyle w:val="Compact"/>
              <w:jc w:val="left"/>
            </w:pPr>
            <w:r>
              <w:t xml:space="preserve">Subtotal</w:t>
            </w:r>
          </w:p>
        </w:tc>
        <w:tc>
          <w:tcPr/>
          <w:p>
            <w:pPr>
              <w:pStyle w:val="Compact"/>
              <w:jc w:val="left"/>
            </w:pPr>
            <w:r>
              <w:t xml:space="preserve">2,540,000.00</w:t>
            </w:r>
          </w:p>
        </w:tc>
      </w:tr>
      <w:tr>
        <w:tc>
          <w:tcPr/>
          <w:p>
            <w:pPr>
              <w:pStyle w:val="Compact"/>
              <w:jc w:val="left"/>
            </w:pPr>
            <w:r>
              <w:t xml:space="preserve">VAT (12%)</w:t>
            </w:r>
          </w:p>
        </w:tc>
        <w:tc>
          <w:tcPr/>
          <w:p>
            <w:pPr>
              <w:pStyle w:val="Compact"/>
              <w:jc w:val="left"/>
            </w:pPr>
            <w:r>
              <w:t xml:space="preserve">304,800.00</w:t>
            </w:r>
          </w:p>
        </w:tc>
      </w:tr>
      <w:tr>
        <w:tc>
          <w:tcPr/>
          <w:p>
            <w:pPr>
              <w:pStyle w:val="Compact"/>
              <w:jc w:val="left"/>
            </w:pPr>
            <w:r>
              <w:t xml:space="preserve">Withholding Tax (10%)</w:t>
            </w:r>
          </w:p>
        </w:tc>
        <w:tc>
          <w:tcPr/>
          <w:p>
            <w:pPr>
              <w:pStyle w:val="Compact"/>
              <w:jc w:val="left"/>
            </w:pPr>
            <w:r>
              <w:t xml:space="preserve">(254,000.00)</w:t>
            </w:r>
          </w:p>
        </w:tc>
      </w:tr>
      <w:tr>
        <w:tc>
          <w:tcPr/>
          <w:p>
            <w:pPr>
              <w:pStyle w:val="Compact"/>
              <w:jc w:val="left"/>
            </w:pPr>
            <w:r>
              <w:t xml:space="preserve">Net Amount Due</w:t>
            </w:r>
          </w:p>
        </w:tc>
        <w:tc>
          <w:tcPr/>
          <w:p>
            <w:pPr>
              <w:pStyle w:val="Compact"/>
              <w:jc w:val="left"/>
            </w:pPr>
            <w:r>
              <w:t xml:space="preserve">2,590,800.00</w:t>
            </w:r>
          </w:p>
        </w:tc>
      </w:tr>
    </w:tbl>
    <w:bookmarkStart w:id="22" w:name="invoice-terms-conditions-notes"/>
    <w:p>
      <w:pPr>
        <w:pStyle w:val="Heading3"/>
      </w:pPr>
      <w:r>
        <w:t xml:space="preserve">Invoice Terms, Conditions &amp; Notes</w:t>
      </w:r>
    </w:p>
    <w:p>
      <w:pPr>
        <w:numPr>
          <w:ilvl w:val="0"/>
          <w:numId w:val="1001"/>
        </w:numPr>
        <w:pStyle w:val="Compact"/>
      </w:pPr>
      <w:r>
        <w:t xml:space="preserve">This Invoice is issued in accordance with the Philippine Bureau of Internal Revenue (BIR) regulations and the Commission on Elections (COMELEC) campaign finance reporting requirements applicable to the Politician's registered campaign account.</w:t>
      </w:r>
    </w:p>
    <w:p>
      <w:pPr>
        <w:numPr>
          <w:ilvl w:val="0"/>
          <w:numId w:val="1001"/>
        </w:numPr>
        <w:pStyle w:val="Compact"/>
      </w:pPr>
      <w:r>
        <w:t xml:space="preserve">Payment for this Invoice shall be made via bank transfer to the account of Manila Political Strategy Group, Inc. at BDO Unibank, Makati Branch, Account No. 1234-5678-9012, or via check payable to "Manila Political Strategy Group, Inc."</w:t>
      </w:r>
    </w:p>
    <w:p>
      <w:pPr>
        <w:numPr>
          <w:ilvl w:val="0"/>
          <w:numId w:val="1001"/>
        </w:numPr>
        <w:pStyle w:val="Compact"/>
      </w:pPr>
      <w:r>
        <w:t xml:space="preserve">All services rendered under this Invoice were performed in full compliance with the Philippine Election Code (Batas Pambansa Blg. 881) and the COMELEC Resolution No. 10745 governing political advertising and campaign expenditures in the Philippines Manila region.</w:t>
      </w:r>
    </w:p>
    <w:p>
      <w:pPr>
        <w:numPr>
          <w:ilvl w:val="0"/>
          <w:numId w:val="1001"/>
        </w:numPr>
        <w:pStyle w:val="Compact"/>
      </w:pPr>
      <w:r>
        <w:t xml:space="preserve">The Politician is required to report all expenditures covered by this Invoice to the COMELEC's Campaign Finance and Expenditure Monitoring Committee within the prescribed filing period.</w:t>
      </w:r>
    </w:p>
    <w:p>
      <w:pPr>
        <w:numPr>
          <w:ilvl w:val="0"/>
          <w:numId w:val="1001"/>
        </w:numPr>
        <w:pStyle w:val="Compact"/>
      </w:pPr>
      <w:r>
        <w:t xml:space="preserve">Any dispute regarding the charges listed in this Invoice must be raised in writing within fifteen (15) calendar days from the date of issuance. Failure to do so shall constitute acceptance of the Invoice in its entirety.</w:t>
      </w:r>
    </w:p>
    <w:p>
      <w:pPr>
        <w:numPr>
          <w:ilvl w:val="0"/>
          <w:numId w:val="1001"/>
        </w:numPr>
        <w:pStyle w:val="Compact"/>
      </w:pPr>
      <w:r>
        <w:t xml:space="preserve">All intellectual property, strategy documents, media assets, and campaign materials developed under this engagement remain the exclusive property of the Politician upon full settlement of this Invoice.</w:t>
      </w:r>
    </w:p>
    <w:p>
      <w:pPr>
        <w:numPr>
          <w:ilvl w:val="0"/>
          <w:numId w:val="1001"/>
        </w:numPr>
        <w:pStyle w:val="Compact"/>
      </w:pPr>
      <w:r>
        <w:t xml:space="preserve">This Invoice is valid for payment within thirty (30) days from the date of issuance. A late payment penalty of 1.5% per month shall apply to any outstanding balance after the due date of July 15, 2025.</w:t>
      </w:r>
    </w:p>
    <w:p>
      <w:pPr>
        <w:numPr>
          <w:ilvl w:val="0"/>
          <w:numId w:val="1001"/>
        </w:numPr>
        <w:pStyle w:val="Compact"/>
      </w:pPr>
      <w:r>
        <w:t xml:space="preserve">Manila Political Strategy Group, Inc. maintains full confidentiality of all political strategies, voter data, and internal communications shared by the Politician during the course of this engagement, in accordance with the Philippine Data Privacy Act of 2012 (Republic Act No. 10173).</w:t>
      </w:r>
    </w:p>
    <w:bookmarkEnd w:id="22"/>
    <w:p>
      <w:pPr>
        <w:pStyle w:val="FirstParagraph"/>
      </w:pPr>
      <w:r>
        <w:rPr>
          <w:bCs/>
          <w:b/>
        </w:rPr>
        <w:t xml:space="preserve">Manila Political Strategy Group, Inc.</w:t>
      </w:r>
      <w:r>
        <w:t xml:space="preserve"> </w:t>
      </w:r>
      <w:r>
        <w:t xml:space="preserve">| Unit 1204, Ayala Center Tower 2, 1201 Makati Avenue, Philippines Manila, Metro Manila 1226</w:t>
      </w:r>
    </w:p>
    <w:p>
      <w:pPr>
        <w:pStyle w:val="BodyText"/>
      </w:pPr>
      <w:r>
        <w:t xml:space="preserve">Tel: +63 (2) 8887-4521 | Email: billing@manilapoliticalstrategy.ph | BIR-AC No. 000-123-456-000</w:t>
      </w:r>
    </w:p>
    <w:p>
      <w:pPr>
        <w:pStyle w:val="BodyText"/>
      </w:pPr>
      <w:r>
        <w:t xml:space="preserve">This Invoice was generated electronically and is valid without a physical signature. For verification, contact our billing department during regular business hours (Monday to Friday, 8:00 AM – 5:00 PM Philippine Standard Time).</w:t>
      </w:r>
    </w:p>
    <w:p>
      <w:pPr>
        <w:pStyle w:val="BodyText"/>
      </w:pPr>
      <w:r>
        <w:t xml:space="preserve">© 2025 Manila Political Strategy Group, Inc. All Rights Reserved. | Invoice PHL-MNL-2025-04871 | Philippines Manila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Philippines Manila</dc:title>
  <dc:creator/>
  <dc:language>en</dc:language>
  <cp:keywords/>
  <dcterms:created xsi:type="dcterms:W3CDTF">2026-10-10T01:21:17Z</dcterms:created>
  <dcterms:modified xsi:type="dcterms:W3CDTF">2026-10-10T01:21:17Z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