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invoice"/>
    <w:p>
      <w:pPr>
        <w:pStyle w:val="Heading1"/>
      </w:pPr>
      <w:r>
        <w:t xml:space="preserve">INVOICE</w:t>
      </w:r>
    </w:p>
    <w:p>
      <w:pPr>
        <w:pStyle w:val="FirstParagraph"/>
      </w:pPr>
      <w:r>
        <w:t xml:space="preserve">Political Advisory &amp; Strategic Consulting Services</w:t>
      </w:r>
    </w:p>
    <w:p>
      <w:pPr>
        <w:pStyle w:val="BodyText"/>
      </w:pPr>
      <w:r>
        <w:t xml:space="preserve">Moscow, Russia</w:t>
      </w:r>
    </w:p>
    <w:bookmarkEnd w:id="20"/>
    <w:bookmarkStart w:id="21" w:name="issued-by-service-provider"/>
    <w:p>
      <w:pPr>
        <w:pStyle w:val="Heading3"/>
      </w:pPr>
      <w:r>
        <w:t xml:space="preserve">Issued By (Service Provider)</w:t>
      </w:r>
    </w:p>
    <w:p>
      <w:pPr>
        <w:pStyle w:val="FirstParagraph"/>
      </w:pPr>
      <w:r>
        <w:rPr>
          <w:bCs/>
          <w:b/>
        </w:rPr>
        <w:t xml:space="preserve">Capital Political Strategy Group LLC</w:t>
      </w:r>
    </w:p>
    <w:p>
      <w:pPr>
        <w:pStyle w:val="BodyText"/>
      </w:pPr>
      <w:r>
        <w:t xml:space="preserve">12 Tverskaya Street, Building 4, Floor 7</w:t>
      </w:r>
    </w:p>
    <w:p>
      <w:pPr>
        <w:pStyle w:val="BodyText"/>
      </w:pPr>
      <w:r>
        <w:t xml:space="preserve">Moscow, Russia, 125009</w:t>
      </w:r>
    </w:p>
    <w:p>
      <w:pPr>
        <w:pStyle w:val="BodyText"/>
      </w:pPr>
      <w:r>
        <w:t xml:space="preserve">Tax ID (INN): 7701234567</w:t>
      </w:r>
    </w:p>
    <w:p>
      <w:pPr>
        <w:pStyle w:val="BodyText"/>
      </w:pPr>
      <w:r>
        <w:t xml:space="preserve">Registration No. (OGRN): 1157746001234</w:t>
      </w:r>
    </w:p>
    <w:p>
      <w:pPr>
        <w:pStyle w:val="BodyText"/>
      </w:pPr>
      <w:r>
        <w:t xml:space="preserve">Email: billing@capitalpolstrat.ru</w:t>
      </w:r>
    </w:p>
    <w:p>
      <w:pPr>
        <w:pStyle w:val="BodyText"/>
      </w:pPr>
      <w:r>
        <w:t xml:space="preserve">Phone: +7 (495) 555-0142</w:t>
      </w:r>
    </w:p>
    <w:bookmarkEnd w:id="21"/>
    <w:bookmarkStart w:id="22" w:name="billed-to-client"/>
    <w:p>
      <w:pPr>
        <w:pStyle w:val="Heading3"/>
      </w:pPr>
      <w:r>
        <w:t xml:space="preserve">Billed To (Client)</w:t>
      </w:r>
    </w:p>
    <w:p>
      <w:pPr>
        <w:pStyle w:val="FirstParagraph"/>
      </w:pPr>
      <w:r>
        <w:rPr>
          <w:bCs/>
          <w:b/>
        </w:rPr>
        <w:t xml:space="preserve">Hon. Alexei Dmitrievich Volkov</w:t>
      </w:r>
    </w:p>
    <w:p>
      <w:pPr>
        <w:pStyle w:val="BodyText"/>
      </w:pPr>
      <w:r>
        <w:t xml:space="preserve">Deputy, State Duma of the Russian Federation</w:t>
      </w:r>
    </w:p>
    <w:p>
      <w:pPr>
        <w:pStyle w:val="BodyText"/>
      </w:pPr>
      <w:r>
        <w:t xml:space="preserve">Committee on Economic Policy</w:t>
      </w:r>
    </w:p>
    <w:p>
      <w:pPr>
        <w:pStyle w:val="BodyText"/>
      </w:pPr>
      <w:r>
        <w:t xml:space="preserve">12 Ostozhenka Street, Moscow, Russia, 103009</w:t>
      </w:r>
    </w:p>
    <w:p>
      <w:pPr>
        <w:pStyle w:val="BodyText"/>
      </w:pPr>
      <w:r>
        <w:t xml:space="preserve">Official Contact: +7 (495) 960-2200</w:t>
      </w:r>
    </w:p>
    <w:p>
      <w:pPr>
        <w:pStyle w:val="BodyText"/>
      </w:pPr>
      <w:r>
        <w:t xml:space="preserve">Email: a.volkov@state-duma.gov.ru</w:t>
      </w:r>
    </w:p>
    <w:bookmarkEnd w:id="22"/>
    <w:p>
      <w:pPr>
        <w:pStyle w:val="BodyText"/>
      </w:pPr>
      <w:r>
        <w:rPr>
          <w:bCs/>
          <w:b/>
        </w:rPr>
        <w:t xml:space="preserve">Invoice Number:</w:t>
      </w:r>
      <w:r>
        <w:t xml:space="preserve"> </w:t>
      </w:r>
      <w:r>
        <w:t xml:space="preserve">CP-2025-04871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Period:</w:t>
      </w:r>
      <w:r>
        <w:t xml:space="preserve"> </w:t>
      </w:r>
      <w:r>
        <w:t xml:space="preserve">1 April 2025 – 31 May 2025</w:t>
      </w:r>
    </w:p>
    <w:p>
      <w:pPr>
        <w:pStyle w:val="BodyText"/>
      </w:pPr>
      <w:r>
        <w:rPr>
          <w:bCs/>
          <w:b/>
        </w:rPr>
        <w:t xml:space="preserve">Currency:</w:t>
      </w:r>
      <w:r>
        <w:t xml:space="preserve"> </w:t>
      </w:r>
      <w:r>
        <w:t xml:space="preserve">Russian Ruble (RUB)</w:t>
      </w:r>
    </w:p>
    <w:p>
      <w:pPr>
        <w:pStyle w:val="BodyText"/>
      </w:pPr>
      <w:r>
        <w:rPr>
          <w:bCs/>
          <w:b/>
        </w:rPr>
        <w:t xml:space="preserve">Exchange Rate Reference:</w:t>
      </w:r>
      <w:r>
        <w:t xml:space="preserve"> </w:t>
      </w:r>
      <w:r>
        <w:t xml:space="preserve">Central Bank of Russia</w:t>
      </w:r>
    </w:p>
    <w:p>
      <w:pPr>
        <w:pStyle w:val="BodyText"/>
      </w:pPr>
      <w:r>
        <w:rPr>
          <w:bCs/>
          <w:b/>
        </w:rPr>
        <w:t xml:space="preserve">Reference:</w:t>
      </w:r>
      <w:r>
        <w:t xml:space="preserve"> </w:t>
      </w:r>
      <w:r>
        <w:t xml:space="preserve">Contract No. PS-2025-0092</w:t>
      </w:r>
    </w:p>
    <w:bookmarkStart w:id="24" w:name="description-of-services-rendered"/>
    <w:p>
      <w:pPr>
        <w:pStyle w:val="Heading2"/>
      </w:pPr>
      <w:r>
        <w:t xml:space="preserve">Description of Services Rendered</w:t>
      </w:r>
    </w:p>
    <w:p>
      <w:pPr>
        <w:pStyle w:val="FirstParagraph"/>
      </w:pPr>
      <w:r>
        <w:t xml:space="preserve">The following Invoice covers professional political advisory, strategic communication, and legislative consulting services provided to the Politician, Hon. Alexei Dmitrievich Volkov, in his capacity as a Deputy of the State Duma, during the specified service period in Moscow, Russia. All services were delivered in accordance with the terms outlined in Contract No. PS-2025-0092 and in full compliance with the Federal Law of the Russian Federation on Political Parties and the relevant regulations governing the financial activities of elected officials.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Strategic political advisory sessions for the Politician regarding legislative agenda planning for the Spring 2025 session of the State Duma, conducted at the Capital Political Strategy Group office in central Moscow, Russia.</w:t>
            </w:r>
          </w:p>
        </w:tc>
        <w:tc>
          <w:tcPr/>
          <w:p>
            <w:pPr>
              <w:pStyle w:val="Compact"/>
              <w:jc w:val="left"/>
            </w:pPr>
            <w:r>
              <w:t xml:space="preserve">24 hours</w:t>
            </w:r>
          </w:p>
        </w:tc>
        <w:tc>
          <w:tcPr/>
          <w:p>
            <w:pPr>
              <w:pStyle w:val="Compact"/>
              <w:jc w:val="left"/>
            </w:pPr>
            <w:r>
              <w:t xml:space="preserve">12,500.00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Development of public communication strategy and media engagement plan for the Politician, including drafting of press statements, social media content calendars, and talking points for public appearances in Moscow and the Moscow Region.</w:t>
            </w:r>
          </w:p>
        </w:tc>
        <w:tc>
          <w:tcPr/>
          <w:p>
            <w:pPr>
              <w:pStyle w:val="Compact"/>
              <w:jc w:val="left"/>
            </w:pPr>
            <w:r>
              <w:t xml:space="preserve">16 hours</w:t>
            </w:r>
          </w:p>
        </w:tc>
        <w:tc>
          <w:tcPr/>
          <w:p>
            <w:pPr>
              <w:pStyle w:val="Compact"/>
              <w:jc w:val="left"/>
            </w:pPr>
            <w:r>
              <w:t xml:space="preserve">11,000.00</w:t>
            </w:r>
          </w:p>
        </w:tc>
        <w:tc>
          <w:tcPr/>
          <w:p>
            <w:pPr>
              <w:pStyle w:val="Compact"/>
              <w:jc w:val="left"/>
            </w:pPr>
            <w:r>
              <w:t xml:space="preserve">176,000.00</w:t>
            </w:r>
          </w:p>
        </w:tc>
      </w:tr>
      <w:tr>
        <w:tc>
          <w:tcPr/>
          <w:p>
            <w:pPr>
              <w:pStyle w:val="Compact"/>
              <w:jc w:val="left"/>
            </w:pPr>
            <w:r>
              <w:t xml:space="preserve">3</w:t>
            </w:r>
          </w:p>
        </w:tc>
        <w:tc>
          <w:tcPr/>
          <w:p>
            <w:pPr>
              <w:pStyle w:val="Compact"/>
              <w:jc w:val="left"/>
            </w:pPr>
            <w:r>
              <w:t xml:space="preserve">Legislative research and policy analysis support: preparation of briefing documents, economic impact assessments, and comparative legal analyses for the Politician's committee work on the State Duma Committee on Economic Policy.</w:t>
            </w:r>
          </w:p>
        </w:tc>
        <w:tc>
          <w:tcPr/>
          <w:p>
            <w:pPr>
              <w:pStyle w:val="Compact"/>
              <w:jc w:val="left"/>
            </w:pPr>
            <w:r>
              <w:t xml:space="preserve">32 hours</w:t>
            </w:r>
          </w:p>
        </w:tc>
        <w:tc>
          <w:tcPr/>
          <w:p>
            <w:pPr>
              <w:pStyle w:val="Compact"/>
              <w:jc w:val="left"/>
            </w:pPr>
            <w:r>
              <w:t xml:space="preserve">10,500.00</w:t>
            </w:r>
          </w:p>
        </w:tc>
        <w:tc>
          <w:tcPr/>
          <w:p>
            <w:pPr>
              <w:pStyle w:val="Compact"/>
              <w:jc w:val="left"/>
            </w:pPr>
            <w:r>
              <w:t xml:space="preserve">336,000.00</w:t>
            </w:r>
          </w:p>
        </w:tc>
      </w:tr>
      <w:tr>
        <w:tc>
          <w:tcPr/>
          <w:p>
            <w:pPr>
              <w:pStyle w:val="Compact"/>
              <w:jc w:val="left"/>
            </w:pPr>
            <w:r>
              <w:t xml:space="preserve">4</w:t>
            </w:r>
          </w:p>
        </w:tc>
        <w:tc>
          <w:tcPr/>
          <w:p>
            <w:pPr>
              <w:pStyle w:val="Compact"/>
              <w:jc w:val="left"/>
            </w:pPr>
            <w:r>
              <w:t xml:space="preserve">Constituent engagement strategy: design and coordination of town hall events, voter outreach programs, and community feedback mechanisms for the Politician's electoral district in Moscow, Russia, including venue coordination and logistical planning.</w:t>
            </w:r>
          </w:p>
        </w:tc>
        <w:tc>
          <w:tcPr/>
          <w:p>
            <w:pPr>
              <w:pStyle w:val="Compact"/>
              <w:jc w:val="left"/>
            </w:pPr>
            <w:r>
              <w:t xml:space="preserve">12 events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5</w:t>
            </w:r>
          </w:p>
        </w:tc>
        <w:tc>
          <w:tcPr/>
          <w:p>
            <w:pPr>
              <w:pStyle w:val="Compact"/>
              <w:jc w:val="left"/>
            </w:pPr>
            <w:r>
              <w:t xml:space="preserve">Crisis communication management and rapid-response advisory for the Politician during the May 2025 media cycle, including 24/7 on-call availability, real-time media monitoring, and drafting of official responses to public inquiries.</w:t>
            </w:r>
          </w:p>
        </w:tc>
        <w:tc>
          <w:tcPr/>
          <w:p>
            <w:pPr>
              <w:pStyle w:val="Compact"/>
              <w:jc w:val="left"/>
            </w:pPr>
            <w:r>
              <w:t xml:space="preserve">40 hours</w:t>
            </w:r>
          </w:p>
        </w:tc>
        <w:tc>
          <w:tcPr/>
          <w:p>
            <w:pPr>
              <w:pStyle w:val="Compact"/>
              <w:jc w:val="left"/>
            </w:pPr>
            <w:r>
              <w:t xml:space="preserve">14,000.00</w:t>
            </w:r>
          </w:p>
        </w:tc>
        <w:tc>
          <w:tcPr/>
          <w:p>
            <w:pPr>
              <w:pStyle w:val="Compact"/>
              <w:jc w:val="left"/>
            </w:pPr>
            <w:r>
              <w:t xml:space="preserve">560,000.00</w:t>
            </w:r>
          </w:p>
        </w:tc>
      </w:tr>
      <w:tr>
        <w:tc>
          <w:tcPr/>
          <w:p>
            <w:pPr>
              <w:pStyle w:val="Compact"/>
              <w:jc w:val="left"/>
            </w:pPr>
            <w:r>
              <w:t xml:space="preserve">6</w:t>
            </w:r>
          </w:p>
        </w:tc>
        <w:tc>
          <w:tcPr/>
          <w:p>
            <w:pPr>
              <w:pStyle w:val="Compact"/>
              <w:jc w:val="left"/>
            </w:pPr>
            <w:r>
              <w:t xml:space="preserve">Inter-party negotiation preparation: strategic briefings, position paper development, and simulation exercises to support the Politician in inter-factional negotiations within the State Duma plenary sessions held in Moscow.</w:t>
            </w:r>
          </w:p>
        </w:tc>
        <w:tc>
          <w:tcPr/>
          <w:p>
            <w:pPr>
              <w:pStyle w:val="Compact"/>
              <w:jc w:val="left"/>
            </w:pPr>
            <w:r>
              <w:t xml:space="preserve">18 hours</w:t>
            </w:r>
          </w:p>
        </w:tc>
        <w:tc>
          <w:tcPr/>
          <w:p>
            <w:pPr>
              <w:pStyle w:val="Compact"/>
              <w:jc w:val="left"/>
            </w:pPr>
            <w:r>
              <w:t xml:space="preserve">13,000.00</w:t>
            </w:r>
          </w:p>
        </w:tc>
        <w:tc>
          <w:tcPr/>
          <w:p>
            <w:pPr>
              <w:pStyle w:val="Compact"/>
              <w:jc w:val="left"/>
            </w:pPr>
            <w:r>
              <w:t xml:space="preserve">234,000.00</w:t>
            </w:r>
          </w:p>
        </w:tc>
      </w:tr>
      <w:tr>
        <w:tc>
          <w:tcPr/>
          <w:p>
            <w:pPr>
              <w:pStyle w:val="Compact"/>
              <w:jc w:val="left"/>
            </w:pPr>
            <w:r>
              <w:t xml:space="preserve">7</w:t>
            </w:r>
          </w:p>
        </w:tc>
        <w:tc>
          <w:tcPr/>
          <w:p>
            <w:pPr>
              <w:pStyle w:val="Compact"/>
              <w:jc w:val="left"/>
            </w:pPr>
            <w:r>
              <w:t xml:space="preserve">Administrative and compliance support: tracking of financial disclosure obligations, preparation of quarterly activity reports for the Politician's office, and ensuring all advisory engagements comply with Russian Federation anti-corruption legislation.</w:t>
            </w:r>
          </w:p>
        </w:tc>
        <w:tc>
          <w:tcPr/>
          <w:p>
            <w:pPr>
              <w:pStyle w:val="Compact"/>
              <w:jc w:val="left"/>
            </w:pPr>
            <w:r>
              <w:t xml:space="preserve">8 hours</w:t>
            </w:r>
          </w:p>
        </w:tc>
        <w:tc>
          <w:tcPr/>
          <w:p>
            <w:pPr>
              <w:pStyle w:val="Compact"/>
              <w:jc w:val="left"/>
            </w:pPr>
            <w:r>
              <w:t xml:space="preserve">9,500.00</w:t>
            </w:r>
          </w:p>
        </w:tc>
        <w:tc>
          <w:tcPr/>
          <w:p>
            <w:pPr>
              <w:pStyle w:val="Compact"/>
              <w:jc w:val="left"/>
            </w:pPr>
            <w:r>
              <w:t xml:space="preserve">76,000.00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1,904,000.00 RUB</w:t>
            </w:r>
          </w:p>
        </w:tc>
      </w:tr>
      <w:tr>
        <w:tc>
          <w:tcPr/>
          <w:p>
            <w:pPr>
              <w:pStyle w:val="Compact"/>
              <w:jc w:val="left"/>
            </w:pPr>
            <w:r>
              <w:t xml:space="preserve">VAT (20%)</w:t>
            </w:r>
          </w:p>
        </w:tc>
        <w:tc>
          <w:tcPr/>
          <w:p>
            <w:pPr>
              <w:pStyle w:val="Compact"/>
              <w:jc w:val="left"/>
            </w:pPr>
            <w:r>
              <w:t xml:space="preserve">380,800.00 RUB</w:t>
            </w:r>
          </w:p>
        </w:tc>
      </w:tr>
      <w:tr>
        <w:tc>
          <w:tcPr/>
          <w:p>
            <w:pPr>
              <w:pStyle w:val="Compact"/>
              <w:jc w:val="left"/>
            </w:pPr>
            <w:r>
              <w:t xml:space="preserve">Administrative Surcharge (2%)</w:t>
            </w:r>
          </w:p>
        </w:tc>
        <w:tc>
          <w:tcPr/>
          <w:p>
            <w:pPr>
              <w:pStyle w:val="Compact"/>
              <w:jc w:val="left"/>
            </w:pPr>
            <w:r>
              <w:t xml:space="preserve">38,080.00 RUB</w:t>
            </w:r>
          </w:p>
        </w:tc>
      </w:tr>
      <w:tr>
        <w:tc>
          <w:tcPr/>
          <w:p>
            <w:pPr>
              <w:pStyle w:val="Compact"/>
              <w:jc w:val="left"/>
            </w:pPr>
            <w:r>
              <w:t xml:space="preserve">Grand Total</w:t>
            </w:r>
          </w:p>
        </w:tc>
        <w:tc>
          <w:tcPr/>
          <w:p>
            <w:pPr>
              <w:pStyle w:val="Compact"/>
              <w:jc w:val="left"/>
            </w:pPr>
            <w:r>
              <w:t xml:space="preserve">2,322,880.00 RUB</w:t>
            </w:r>
          </w:p>
        </w:tc>
      </w:tr>
    </w:tbl>
    <w:bookmarkStart w:id="23" w:name="payment-instructions-important-notes"/>
    <w:p>
      <w:pPr>
        <w:pStyle w:val="Heading3"/>
      </w:pPr>
      <w:r>
        <w:t xml:space="preserve">Payment Instructions &amp; Important Notes</w:t>
      </w:r>
    </w:p>
    <w:p>
      <w:pPr>
        <w:pStyle w:val="FirstParagraph"/>
      </w:pPr>
      <w:r>
        <w:rPr>
          <w:bCs/>
          <w:b/>
        </w:rPr>
        <w:t xml:space="preserve">Bank Details for Payment:</w:t>
      </w:r>
      <w:r>
        <w:t xml:space="preserve"> </w:t>
      </w:r>
      <w:r>
        <w:t xml:space="preserve">Capital Political Strategy Group LLC, Sberbank, Moscow Branch. Account No. 40702810400000012345. BIC/SWIFT: SABRRUMM. Correspondent Account: 30101810400000000225.</w:t>
      </w:r>
    </w:p>
    <w:p>
      <w:pPr>
        <w:pStyle w:val="BodyText"/>
      </w:pPr>
      <w:r>
        <w:rPr>
          <w:bCs/>
          <w:b/>
        </w:rPr>
        <w:t xml:space="preserve">Payment Method:</w:t>
      </w:r>
      <w:r>
        <w:t xml:space="preserve"> </w:t>
      </w:r>
      <w:r>
        <w:t xml:space="preserve">Wire transfer to the account specified above. Please reference Invoice Number CP-2025-04871 in the payment remittance details. Payments must be received no later than the Due Date stated above to avoid late-payment penalties as stipulated in Article 14 of Contract No. PS-2025-0092.</w:t>
      </w:r>
    </w:p>
    <w:p>
      <w:pPr>
        <w:pStyle w:val="BodyText"/>
      </w:pPr>
      <w:r>
        <w:rPr>
          <w:bCs/>
          <w:b/>
        </w:rPr>
        <w:t xml:space="preserve">Compliance Statement:</w:t>
      </w:r>
      <w:r>
        <w:t xml:space="preserve"> </w:t>
      </w:r>
      <w:r>
        <w:t xml:space="preserve">This Invoice and all associated services have been conducted in strict accordance with the Federal Law of the Russian Federation No. 7-FZ "On Political Parties," Federal Law No. 273-FZ "On Combating Corruption," and the internal financial regulations of the State Duma of the Russian Federation governing the expenditure of elected officials. All services rendered to the Politician were performed transparently and are subject to audit by the relevant oversight bodies in Moscow, Russia.</w:t>
      </w:r>
    </w:p>
    <w:p>
      <w:pPr>
        <w:pStyle w:val="BodyText"/>
      </w:pPr>
      <w:r>
        <w:rPr>
          <w:bCs/>
          <w:b/>
        </w:rPr>
        <w:t xml:space="preserve">Confidentiality:</w:t>
      </w:r>
      <w:r>
        <w:t xml:space="preserve"> </w:t>
      </w:r>
      <w:r>
        <w:t xml:space="preserve">The contents of this Invoice and the nature of the advisory services provided to the Politician are subject to the confidentiality provisions outlined in Section 9 of the governing contract. Unauthorized disclosure of the specific strategic recommendations contained in the service deliverables is prohibited.</w:t>
      </w:r>
    </w:p>
    <w:p>
      <w:pPr>
        <w:pStyle w:val="BodyText"/>
      </w:pPr>
      <w:r>
        <w:rPr>
          <w:bCs/>
          <w:b/>
        </w:rPr>
        <w:t xml:space="preserve">Dispute Resolution:</w:t>
      </w:r>
      <w:r>
        <w:t xml:space="preserve"> </w:t>
      </w:r>
      <w:r>
        <w:t xml:space="preserve">Any disputes arising from this Invoice shall be resolved through the Arbitration Court of the City of Moscow, Russia, in accordance with the applicable procedural rules.</w:t>
      </w:r>
    </w:p>
    <w:bookmarkEnd w:id="23"/>
    <w:p>
      <w:pPr>
        <w:pStyle w:val="BodyText"/>
      </w:pPr>
      <w:r>
        <w:t xml:space="preserve">This Invoice was generated electronically and is valid without a physical signature in accordance with Federal Law No. 63-FZ "On Electronic Signature." For verification, contact the issuing office at Capital Political Strategy Group LLC, 12 Tverskaya Street, Moscow, Russia.</w:t>
      </w:r>
    </w:p>
    <w:p>
      <w:pPr>
        <w:pStyle w:val="BodyText"/>
      </w:pPr>
      <w:r>
        <w:t xml:space="preserve">© 2025 Capital Political Strategy Group LLC. All rights reserved. Invoice CP-2025-04871.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Moscow, Russia</dc:title>
  <dc:creator/>
  <dc:language>en</dc:language>
  <cp:keywords/>
  <dcterms:created xsi:type="dcterms:W3CDTF">2026-10-10T02:43:31Z</dcterms:created>
  <dcterms:modified xsi:type="dcterms:W3CDTF">2026-10-10T02:43:31Z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