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Political</w:t>
      </w:r>
      <w:r>
        <w:t xml:space="preserve"> </w:t>
      </w:r>
      <w:r>
        <w:t xml:space="preserve">Advisory</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invoice"/>
    <w:p>
      <w:pPr>
        <w:pStyle w:val="Heading1"/>
      </w:pPr>
      <w:r>
        <w:t xml:space="preserve">INVOICE</w:t>
      </w:r>
    </w:p>
    <w:p>
      <w:pPr>
        <w:pStyle w:val="FirstParagraph"/>
      </w:pPr>
      <w:r>
        <w:t xml:space="preserve">Political Advisory &amp; Public Policy Consulting Services</w:t>
      </w:r>
    </w:p>
    <w:p>
      <w:pPr>
        <w:pStyle w:val="BodyText"/>
      </w:pPr>
      <w:r>
        <w:t xml:space="preserve">Russia Saint Petersburg</w:t>
      </w:r>
    </w:p>
    <w:bookmarkEnd w:id="20"/>
    <w:bookmarkStart w:id="21" w:name="issued-by-service-provider"/>
    <w:p>
      <w:pPr>
        <w:pStyle w:val="Heading3"/>
      </w:pPr>
      <w:r>
        <w:t xml:space="preserve">Issued By (Service Provider)</w:t>
      </w:r>
    </w:p>
    <w:p>
      <w:pPr>
        <w:pStyle w:val="FirstParagraph"/>
      </w:pPr>
      <w:r>
        <w:rPr>
          <w:bCs/>
          <w:b/>
        </w:rPr>
        <w:t xml:space="preserve">Name:</w:t>
      </w:r>
      <w:r>
        <w:t xml:space="preserve"> </w:t>
      </w:r>
      <w:r>
        <w:t xml:space="preserve">Hon. Dmitry A. Volkov</w:t>
      </w:r>
    </w:p>
    <w:p>
      <w:pPr>
        <w:pStyle w:val="BodyText"/>
      </w:pPr>
      <w:r>
        <w:rPr>
          <w:bCs/>
          <w:b/>
        </w:rPr>
        <w:t xml:space="preserve">Title:</w:t>
      </w:r>
      <w:r>
        <w:t xml:space="preserve"> </w:t>
      </w:r>
      <w:r>
        <w:t xml:space="preserve">Senior Politician &amp; Policy Advisor</w:t>
      </w:r>
    </w:p>
    <w:p>
      <w:pPr>
        <w:pStyle w:val="BodyText"/>
      </w:pPr>
      <w:r>
        <w:rPr>
          <w:bCs/>
          <w:b/>
        </w:rPr>
        <w:t xml:space="preserve">Firm:</w:t>
      </w:r>
      <w:r>
        <w:t xml:space="preserve"> </w:t>
      </w:r>
      <w:r>
        <w:t xml:space="preserve">Volkov Political Advisory Group</w:t>
      </w:r>
    </w:p>
    <w:p>
      <w:pPr>
        <w:pStyle w:val="BodyText"/>
      </w:pPr>
      <w:r>
        <w:rPr>
          <w:bCs/>
          <w:b/>
        </w:rPr>
        <w:t xml:space="preserve">Address:</w:t>
      </w:r>
      <w:r>
        <w:t xml:space="preserve"> </w:t>
      </w:r>
      <w:r>
        <w:t xml:space="preserve">14 Nevsky Prospekt, Building 3, Suite 702</w:t>
      </w:r>
    </w:p>
    <w:p>
      <w:pPr>
        <w:pStyle w:val="BodyText"/>
      </w:pPr>
      <w:r>
        <w:rPr>
          <w:bCs/>
          <w:b/>
        </w:rPr>
        <w:t xml:space="preserve">City:</w:t>
      </w:r>
      <w:r>
        <w:t xml:space="preserve"> </w:t>
      </w:r>
      <w:r>
        <w:t xml:space="preserve">Russia Saint Petersburg, 191025</w:t>
      </w:r>
    </w:p>
    <w:p>
      <w:pPr>
        <w:pStyle w:val="BodyText"/>
      </w:pPr>
      <w:r>
        <w:rPr>
          <w:bCs/>
          <w:b/>
        </w:rPr>
        <w:t xml:space="preserve">Country:</w:t>
      </w:r>
      <w:r>
        <w:t xml:space="preserve"> </w:t>
      </w:r>
      <w:r>
        <w:t xml:space="preserve">Russian Federation</w:t>
      </w:r>
    </w:p>
    <w:p>
      <w:pPr>
        <w:pStyle w:val="BodyText"/>
      </w:pPr>
      <w:r>
        <w:rPr>
          <w:bCs/>
          <w:b/>
        </w:rPr>
        <w:t xml:space="preserve">Tax ID (INN):</w:t>
      </w:r>
      <w:r>
        <w:t xml:space="preserve"> </w:t>
      </w:r>
      <w:r>
        <w:t xml:space="preserve">7811234567</w:t>
      </w:r>
    </w:p>
    <w:p>
      <w:pPr>
        <w:pStyle w:val="BodyText"/>
      </w:pPr>
      <w:r>
        <w:rPr>
          <w:bCs/>
          <w:b/>
        </w:rPr>
        <w:t xml:space="preserve">Registration No.:</w:t>
      </w:r>
      <w:r>
        <w:t xml:space="preserve"> </w:t>
      </w:r>
      <w:r>
        <w:t xml:space="preserve">1157800012345</w:t>
      </w:r>
    </w:p>
    <w:p>
      <w:pPr>
        <w:pStyle w:val="BodyText"/>
      </w:pPr>
      <w:r>
        <w:rPr>
          <w:bCs/>
          <w:b/>
        </w:rPr>
        <w:t xml:space="preserve">Email:</w:t>
      </w:r>
      <w:r>
        <w:t xml:space="preserve"> </w:t>
      </w:r>
      <w:r>
        <w:t xml:space="preserve">d.volkov@vpag-sp.ru</w:t>
      </w:r>
    </w:p>
    <w:p>
      <w:pPr>
        <w:pStyle w:val="BodyText"/>
      </w:pPr>
      <w:r>
        <w:rPr>
          <w:bCs/>
          <w:b/>
        </w:rPr>
        <w:t xml:space="preserve">Phone:</w:t>
      </w:r>
      <w:r>
        <w:t xml:space="preserve"> </w:t>
      </w:r>
      <w:r>
        <w:t xml:space="preserve">+7 (812) 555-0147</w:t>
      </w:r>
    </w:p>
    <w:bookmarkEnd w:id="21"/>
    <w:bookmarkStart w:id="22" w:name="bill-to-client"/>
    <w:p>
      <w:pPr>
        <w:pStyle w:val="Heading3"/>
      </w:pPr>
      <w:r>
        <w:t xml:space="preserve">Bill To (Client)</w:t>
      </w:r>
    </w:p>
    <w:p>
      <w:pPr>
        <w:pStyle w:val="FirstParagraph"/>
      </w:pPr>
      <w:r>
        <w:rPr>
          <w:bCs/>
          <w:b/>
        </w:rPr>
        <w:t xml:space="preserve">Organization:</w:t>
      </w:r>
      <w:r>
        <w:t xml:space="preserve"> </w:t>
      </w:r>
      <w:r>
        <w:t xml:space="preserve">Northern Capital Development LLC</w:t>
      </w:r>
    </w:p>
    <w:p>
      <w:pPr>
        <w:pStyle w:val="BodyText"/>
      </w:pPr>
      <w:r>
        <w:rPr>
          <w:bCs/>
          <w:b/>
        </w:rPr>
        <w:t xml:space="preserve">Attn:</w:t>
      </w:r>
      <w:r>
        <w:t xml:space="preserve"> </w:t>
      </w:r>
      <w:r>
        <w:t xml:space="preserve">Ms. Elena S. Petrova, Chief Executive Officer</w:t>
      </w:r>
    </w:p>
    <w:p>
      <w:pPr>
        <w:pStyle w:val="BodyText"/>
      </w:pPr>
      <w:r>
        <w:rPr>
          <w:bCs/>
          <w:b/>
        </w:rPr>
        <w:t xml:space="preserve">Address:</w:t>
      </w:r>
      <w:r>
        <w:t xml:space="preserve"> </w:t>
      </w:r>
      <w:r>
        <w:t xml:space="preserve">88 Moskovsky Prospekt, Floor 12</w:t>
      </w:r>
    </w:p>
    <w:p>
      <w:pPr>
        <w:pStyle w:val="BodyText"/>
      </w:pPr>
      <w:r>
        <w:rPr>
          <w:bCs/>
          <w:b/>
        </w:rPr>
        <w:t xml:space="preserve">City:</w:t>
      </w:r>
      <w:r>
        <w:t xml:space="preserve"> </w:t>
      </w:r>
      <w:r>
        <w:t xml:space="preserve">Russia Saint Petersburg, 190068</w:t>
      </w:r>
    </w:p>
    <w:p>
      <w:pPr>
        <w:pStyle w:val="BodyText"/>
      </w:pPr>
      <w:r>
        <w:rPr>
          <w:bCs/>
          <w:b/>
        </w:rPr>
        <w:t xml:space="preserve">Country:</w:t>
      </w:r>
      <w:r>
        <w:t xml:space="preserve"> </w:t>
      </w:r>
      <w:r>
        <w:t xml:space="preserve">Russian Federation</w:t>
      </w:r>
    </w:p>
    <w:p>
      <w:pPr>
        <w:pStyle w:val="BodyText"/>
      </w:pPr>
      <w:r>
        <w:rPr>
          <w:bCs/>
          <w:b/>
        </w:rPr>
        <w:t xml:space="preserve">Tax ID (INN):</w:t>
      </w:r>
      <w:r>
        <w:t xml:space="preserve"> </w:t>
      </w:r>
      <w:r>
        <w:t xml:space="preserve">7805987654</w:t>
      </w:r>
    </w:p>
    <w:p>
      <w:pPr>
        <w:pStyle w:val="BodyText"/>
      </w:pPr>
      <w:r>
        <w:rPr>
          <w:bCs/>
          <w:b/>
        </w:rPr>
        <w:t xml:space="preserve">Invoice Number:</w:t>
      </w:r>
      <w:r>
        <w:t xml:space="preserve"> </w:t>
      </w:r>
      <w:r>
        <w:t xml:space="preserve">VPA-2025-SP-0047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bookmarkEnd w:id="22"/>
    <w:bookmarkStart w:id="24" w:name="description-of-services-rendered"/>
    <w:p>
      <w:pPr>
        <w:pStyle w:val="Heading2"/>
      </w:pPr>
      <w:r>
        <w:t xml:space="preserve">Description of Services Rendered</w:t>
      </w:r>
    </w:p>
    <w:p>
      <w:pPr>
        <w:pStyle w:val="FirstParagraph"/>
      </w:pPr>
      <w:r>
        <w:t xml:space="preserve">This Invoice documents the professional services provided by the undersigned Politician, Hon. Dmitry A. Volkov, in his capacity as a senior political advisor and public policy consultant operating within the jurisdiction of Russia Saint Petersburg. The following line items detail the specific engagements, deliverables, and professional hours allocated during the billing period of 1 May 2025 through 31 May 2025.</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Hours / Units</w:t>
            </w:r>
          </w:p>
        </w:tc>
        <w:tc>
          <w:tcPr/>
          <w:p>
            <w:pPr>
              <w:pStyle w:val="Compact"/>
              <w:jc w:val="left"/>
            </w:pPr>
            <w:r>
              <w:t xml:space="preserve">Rate (RUB)</w:t>
            </w:r>
          </w:p>
        </w:tc>
        <w:tc>
          <w:tcPr/>
          <w:p>
            <w:pPr>
              <w:pStyle w:val="Compact"/>
              <w:jc w:val="left"/>
            </w:pPr>
            <w:r>
              <w:t xml:space="preserve">Amount (RUB)</w:t>
            </w:r>
          </w:p>
        </w:tc>
      </w:tr>
      <w:tr>
        <w:tc>
          <w:tcPr/>
          <w:p>
            <w:pPr>
              <w:pStyle w:val="Compact"/>
              <w:jc w:val="left"/>
            </w:pPr>
            <w:r>
              <w:t xml:space="preserve">01</w:t>
            </w:r>
          </w:p>
        </w:tc>
        <w:tc>
          <w:tcPr/>
          <w:p>
            <w:pPr>
              <w:pStyle w:val="Compact"/>
              <w:jc w:val="left"/>
            </w:pPr>
            <w:r>
              <w:t xml:space="preserve">Strategic political advisory session regarding municipal infrastructure development policy in Russia Saint Petersburg. The Politician provided expert guidance on navigating legislative frameworks and inter-departmental coordination with the City Administration.</w:t>
            </w:r>
          </w:p>
        </w:tc>
        <w:tc>
          <w:tcPr/>
          <w:p>
            <w:pPr>
              <w:pStyle w:val="Compact"/>
              <w:jc w:val="left"/>
            </w:pPr>
            <w:r>
              <w:t xml:space="preserve">8 hours</w:t>
            </w:r>
          </w:p>
        </w:tc>
        <w:tc>
          <w:tcPr/>
          <w:p>
            <w:pPr>
              <w:pStyle w:val="Compact"/>
              <w:jc w:val="left"/>
            </w:pPr>
            <w:r>
              <w:t xml:space="preserve">12,000</w:t>
            </w:r>
          </w:p>
        </w:tc>
        <w:tc>
          <w:tcPr/>
          <w:p>
            <w:pPr>
              <w:pStyle w:val="Compact"/>
              <w:jc w:val="left"/>
            </w:pPr>
            <w:r>
              <w:t xml:space="preserve">96,000.00</w:t>
            </w:r>
          </w:p>
        </w:tc>
      </w:tr>
      <w:tr>
        <w:tc>
          <w:tcPr/>
          <w:p>
            <w:pPr>
              <w:pStyle w:val="Compact"/>
              <w:jc w:val="left"/>
            </w:pPr>
            <w:r>
              <w:t xml:space="preserve">02</w:t>
            </w:r>
          </w:p>
        </w:tc>
        <w:tc>
          <w:tcPr/>
          <w:p>
            <w:pPr>
              <w:pStyle w:val="Compact"/>
              <w:jc w:val="left"/>
            </w:pPr>
            <w:r>
              <w:t xml:space="preserve">Preparation and delivery of a comprehensive policy white paper on sustainable urban growth for the Northern Capital Development project. This document was commissioned by the client to inform their board of directors and was authored by the Politician in consultation with regional stakeholders.</w:t>
            </w:r>
          </w:p>
        </w:tc>
        <w:tc>
          <w:tcPr/>
          <w:p>
            <w:pPr>
              <w:pStyle w:val="Compact"/>
              <w:jc w:val="left"/>
            </w:pPr>
            <w:r>
              <w:t xml:space="preserve">1 deliverable</w:t>
            </w:r>
          </w:p>
        </w:tc>
        <w:tc>
          <w:tcPr/>
          <w:p>
            <w:pPr>
              <w:pStyle w:val="Compact"/>
              <w:jc w:val="left"/>
            </w:pPr>
            <w:r>
              <w:t xml:space="preserve">185,000</w:t>
            </w:r>
          </w:p>
        </w:tc>
        <w:tc>
          <w:tcPr/>
          <w:p>
            <w:pPr>
              <w:pStyle w:val="Compact"/>
              <w:jc w:val="left"/>
            </w:pPr>
            <w:r>
              <w:t xml:space="preserve">185,000.00</w:t>
            </w:r>
          </w:p>
        </w:tc>
      </w:tr>
      <w:tr>
        <w:tc>
          <w:tcPr/>
          <w:p>
            <w:pPr>
              <w:pStyle w:val="Compact"/>
              <w:jc w:val="left"/>
            </w:pPr>
            <w:r>
              <w:t xml:space="preserve">03</w:t>
            </w:r>
          </w:p>
        </w:tc>
        <w:tc>
          <w:tcPr/>
          <w:p>
            <w:pPr>
              <w:pStyle w:val="Compact"/>
              <w:jc w:val="left"/>
            </w:pPr>
            <w:r>
              <w:t xml:space="preserve">Facilitation of a closed-door roundtable meeting between the client's executive team and three members of the Saint Petersburg Legislative Assembly. The Politician served as moderator and provided real-time political risk assessment throughout the session.</w:t>
            </w:r>
          </w:p>
        </w:tc>
        <w:tc>
          <w:tcPr/>
          <w:p>
            <w:pPr>
              <w:pStyle w:val="Compact"/>
              <w:jc w:val="left"/>
            </w:pPr>
            <w:r>
              <w:t xml:space="preserve">4 hours</w:t>
            </w:r>
          </w:p>
        </w:tc>
        <w:tc>
          <w:tcPr/>
          <w:p>
            <w:pPr>
              <w:pStyle w:val="Compact"/>
              <w:jc w:val="left"/>
            </w:pPr>
            <w:r>
              <w:t xml:space="preserve">15,000</w:t>
            </w:r>
          </w:p>
        </w:tc>
        <w:tc>
          <w:tcPr/>
          <w:p>
            <w:pPr>
              <w:pStyle w:val="Compact"/>
              <w:jc w:val="left"/>
            </w:pPr>
            <w:r>
              <w:t xml:space="preserve">60,000.00</w:t>
            </w:r>
          </w:p>
        </w:tc>
      </w:tr>
      <w:tr>
        <w:tc>
          <w:tcPr/>
          <w:p>
            <w:pPr>
              <w:pStyle w:val="Compact"/>
              <w:jc w:val="left"/>
            </w:pPr>
            <w:r>
              <w:t xml:space="preserve">04</w:t>
            </w:r>
          </w:p>
        </w:tc>
        <w:tc>
          <w:tcPr/>
          <w:p>
            <w:pPr>
              <w:pStyle w:val="Compact"/>
              <w:jc w:val="left"/>
            </w:pPr>
            <w:r>
              <w:t xml:space="preserve">Media relations and public communications strategy consultation. The Politician advised the client on positioning their development project within the broader political narrative of Russia Saint Petersburg, including drafting press statements and preparing the client's spokesperson for a televised interview.</w:t>
            </w:r>
          </w:p>
        </w:tc>
        <w:tc>
          <w:tcPr/>
          <w:p>
            <w:pPr>
              <w:pStyle w:val="Compact"/>
              <w:jc w:val="left"/>
            </w:pPr>
            <w:r>
              <w:t xml:space="preserve">6 hours</w:t>
            </w:r>
          </w:p>
        </w:tc>
        <w:tc>
          <w:tcPr/>
          <w:p>
            <w:pPr>
              <w:pStyle w:val="Compact"/>
              <w:jc w:val="left"/>
            </w:pPr>
            <w:r>
              <w:t xml:space="preserve">10,000</w:t>
            </w:r>
          </w:p>
        </w:tc>
        <w:tc>
          <w:tcPr/>
          <w:p>
            <w:pPr>
              <w:pStyle w:val="Compact"/>
              <w:jc w:val="left"/>
            </w:pPr>
            <w:r>
              <w:t xml:space="preserve">60,000.00</w:t>
            </w:r>
          </w:p>
        </w:tc>
      </w:tr>
      <w:tr>
        <w:tc>
          <w:tcPr/>
          <w:p>
            <w:pPr>
              <w:pStyle w:val="Compact"/>
              <w:jc w:val="left"/>
            </w:pPr>
            <w:r>
              <w:t xml:space="preserve">05</w:t>
            </w:r>
          </w:p>
        </w:tc>
        <w:tc>
          <w:tcPr/>
          <w:p>
            <w:pPr>
              <w:pStyle w:val="Compact"/>
              <w:jc w:val="left"/>
            </w:pPr>
            <w:r>
              <w:t xml:space="preserve">Regulatory compliance review and political risk mapping for the client's Phase II construction permits. The Politician conducted a thorough analysis of pending municipal ordinances and provided a written risk matrix with recommended mitigation strategies.</w:t>
            </w:r>
          </w:p>
        </w:tc>
        <w:tc>
          <w:tcPr/>
          <w:p>
            <w:pPr>
              <w:pStyle w:val="Compact"/>
              <w:jc w:val="left"/>
            </w:pPr>
            <w:r>
              <w:t xml:space="preserve">10 hours</w:t>
            </w:r>
          </w:p>
        </w:tc>
        <w:tc>
          <w:tcPr/>
          <w:p>
            <w:pPr>
              <w:pStyle w:val="Compact"/>
              <w:jc w:val="left"/>
            </w:pPr>
            <w:r>
              <w:t xml:space="preserve">11,000</w:t>
            </w:r>
          </w:p>
        </w:tc>
        <w:tc>
          <w:tcPr/>
          <w:p>
            <w:pPr>
              <w:pStyle w:val="Compact"/>
              <w:jc w:val="left"/>
            </w:pPr>
            <w:r>
              <w:t xml:space="preserve">110,000.00</w:t>
            </w:r>
          </w:p>
        </w:tc>
      </w:tr>
      <w:tr>
        <w:tc>
          <w:tcPr/>
          <w:p>
            <w:pPr>
              <w:pStyle w:val="Compact"/>
              <w:jc w:val="left"/>
            </w:pPr>
            <w:r>
              <w:t xml:space="preserve">06</w:t>
            </w:r>
          </w:p>
        </w:tc>
        <w:tc>
          <w:tcPr/>
          <w:p>
            <w:pPr>
              <w:pStyle w:val="Compact"/>
              <w:jc w:val="left"/>
            </w:pPr>
            <w:r>
              <w:t xml:space="preserve">Travel and logistical coordination for on-site inspections at the client's development location in the Krasnogvardeysky District of Russia Saint Petersburg. Includes transportation, venue booking, and administrative support staff.</w:t>
            </w:r>
          </w:p>
        </w:tc>
        <w:tc>
          <w:tcPr/>
          <w:p>
            <w:pPr>
              <w:pStyle w:val="Compact"/>
              <w:jc w:val="left"/>
            </w:pPr>
            <w:r>
              <w:t xml:space="preserve">2 days</w:t>
            </w:r>
          </w:p>
        </w:tc>
        <w:tc>
          <w:tcPr/>
          <w:p>
            <w:pPr>
              <w:pStyle w:val="Compact"/>
              <w:jc w:val="left"/>
            </w:pPr>
            <w:r>
              <w:t xml:space="preserve">22,500</w:t>
            </w:r>
          </w:p>
        </w:tc>
        <w:tc>
          <w:tcPr/>
          <w:p>
            <w:pPr>
              <w:pStyle w:val="Compact"/>
              <w:jc w:val="left"/>
            </w:pPr>
            <w:r>
              <w:t xml:space="preserve">45,000.00</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Summary</w:t>
            </w:r>
          </w:p>
        </w:tc>
        <w:tc>
          <w:tcPr/>
          <w:p>
            <w:pPr>
              <w:pStyle w:val="Compact"/>
              <w:jc w:val="left"/>
            </w:pPr>
            <w:r>
              <w:t xml:space="preserve">Amount (RUB)</w:t>
            </w:r>
          </w:p>
        </w:tc>
      </w:tr>
      <w:tr>
        <w:tc>
          <w:tcPr/>
          <w:p>
            <w:pPr>
              <w:pStyle w:val="Compact"/>
              <w:jc w:val="left"/>
            </w:pPr>
            <w:r>
              <w:t xml:space="preserve">Subtotal</w:t>
            </w:r>
          </w:p>
        </w:tc>
        <w:tc>
          <w:tcPr/>
          <w:p>
            <w:pPr>
              <w:pStyle w:val="Compact"/>
              <w:jc w:val="left"/>
            </w:pPr>
            <w:r>
              <w:t xml:space="preserve">556,000.00</w:t>
            </w:r>
          </w:p>
        </w:tc>
      </w:tr>
      <w:tr>
        <w:tc>
          <w:tcPr/>
          <w:p>
            <w:pPr>
              <w:pStyle w:val="Compact"/>
              <w:jc w:val="left"/>
            </w:pPr>
            <w:r>
              <w:t xml:space="preserve">VAT (20%)</w:t>
            </w:r>
          </w:p>
        </w:tc>
        <w:tc>
          <w:tcPr/>
          <w:p>
            <w:pPr>
              <w:pStyle w:val="Compact"/>
              <w:jc w:val="left"/>
            </w:pPr>
            <w:r>
              <w:t xml:space="preserve">111,200.00</w:t>
            </w:r>
          </w:p>
        </w:tc>
      </w:tr>
      <w:tr>
        <w:tc>
          <w:tcPr/>
          <w:p>
            <w:pPr>
              <w:pStyle w:val="Compact"/>
              <w:jc w:val="left"/>
            </w:pPr>
            <w:r>
              <w:t xml:space="preserve">Discount (Loyal Client – 5%)</w:t>
            </w:r>
          </w:p>
        </w:tc>
        <w:tc>
          <w:tcPr/>
          <w:p>
            <w:pPr>
              <w:pStyle w:val="Compact"/>
              <w:jc w:val="left"/>
            </w:pPr>
            <w:r>
              <w:t xml:space="preserve">-27,800.00</w:t>
            </w:r>
          </w:p>
        </w:tc>
      </w:tr>
      <w:tr>
        <w:tc>
          <w:tcPr/>
          <w:p>
            <w:pPr>
              <w:pStyle w:val="Compact"/>
              <w:jc w:val="left"/>
            </w:pPr>
            <w:r>
              <w:t xml:space="preserve">Grand Total Due</w:t>
            </w:r>
          </w:p>
        </w:tc>
        <w:tc>
          <w:tcPr/>
          <w:p>
            <w:pPr>
              <w:pStyle w:val="Compact"/>
              <w:jc w:val="left"/>
            </w:pPr>
            <w:r>
              <w:t xml:space="preserve">639,400.00</w:t>
            </w:r>
          </w:p>
        </w:tc>
      </w:tr>
    </w:tbl>
    <w:bookmarkStart w:id="23" w:name="payment-instructions-notes"/>
    <w:p>
      <w:pPr>
        <w:pStyle w:val="Heading3"/>
      </w:pPr>
      <w:r>
        <w:t xml:space="preserve">Payment Instructions &amp; Notes</w:t>
      </w:r>
    </w:p>
    <w:p>
      <w:pPr>
        <w:pStyle w:val="FirstParagraph"/>
      </w:pPr>
      <w:r>
        <w:rPr>
          <w:bCs/>
          <w:b/>
        </w:rPr>
        <w:t xml:space="preserve">Bank:</w:t>
      </w:r>
      <w:r>
        <w:t xml:space="preserve"> </w:t>
      </w:r>
      <w:r>
        <w:t xml:space="preserve">Sberbank, Saint Petersburg Branch</w:t>
      </w:r>
    </w:p>
    <w:p>
      <w:pPr>
        <w:pStyle w:val="BodyText"/>
      </w:pPr>
      <w:r>
        <w:rPr>
          <w:bCs/>
          <w:b/>
        </w:rPr>
        <w:t xml:space="preserve">Account Name:</w:t>
      </w:r>
      <w:r>
        <w:t xml:space="preserve"> </w:t>
      </w:r>
      <w:r>
        <w:t xml:space="preserve">Volkov Political Advisory Group</w:t>
      </w:r>
    </w:p>
    <w:p>
      <w:pPr>
        <w:pStyle w:val="BodyText"/>
      </w:pPr>
      <w:r>
        <w:rPr>
          <w:bCs/>
          <w:b/>
        </w:rPr>
        <w:t xml:space="preserve">Account Number (RUB):</w:t>
      </w:r>
      <w:r>
        <w:t xml:space="preserve"> </w:t>
      </w:r>
      <w:r>
        <w:t xml:space="preserve">40702810900000012345</w:t>
      </w:r>
    </w:p>
    <w:p>
      <w:pPr>
        <w:pStyle w:val="BodyText"/>
      </w:pPr>
      <w:r>
        <w:rPr>
          <w:bCs/>
          <w:b/>
        </w:rPr>
        <w:t xml:space="preserve">Correspondent Account:</w:t>
      </w:r>
      <w:r>
        <w:t xml:space="preserve"> </w:t>
      </w:r>
      <w:r>
        <w:t xml:space="preserve">30101810400000000603</w:t>
      </w:r>
    </w:p>
    <w:p>
      <w:pPr>
        <w:pStyle w:val="BodyText"/>
      </w:pPr>
      <w:r>
        <w:rPr>
          <w:bCs/>
          <w:b/>
        </w:rPr>
        <w:t xml:space="preserve">BIC/SWIFT:</w:t>
      </w:r>
      <w:r>
        <w:t xml:space="preserve"> </w:t>
      </w:r>
      <w:r>
        <w:t xml:space="preserve">SABRRU33</w:t>
      </w:r>
    </w:p>
    <w:p>
      <w:pPr>
        <w:pStyle w:val="BodyText"/>
      </w:pPr>
      <w:r>
        <w:rPr>
          <w:bCs/>
          <w:b/>
        </w:rPr>
        <w:t xml:space="preserve">Reference:</w:t>
      </w:r>
      <w:r>
        <w:t xml:space="preserve"> </w:t>
      </w:r>
      <w:r>
        <w:t xml:space="preserve">Invoice VPA-2025-SP-0047</w:t>
      </w:r>
    </w:p>
    <w:p>
      <w:pPr>
        <w:pStyle w:val="BodyText"/>
      </w:pPr>
      <w:r>
        <w:rPr>
          <w:bCs/>
          <w:b/>
        </w:rPr>
        <w:t xml:space="preserve">Important:</w:t>
      </w:r>
      <w:r>
        <w:t xml:space="preserve"> </w:t>
      </w:r>
      <w:r>
        <w:t xml:space="preserve">This Invoice is issued in accordance with the Federal Tax Service regulations of the Russian Federation. All services described herein were performed by a duly registered Politician operating under the professional license of the Volkov Political Advisory Group, headquartered in Russia Saint Petersburg. The client is requested to settle the outstanding balance no later than the stated Due Date to avoid late-payment penalties as stipulated in Section 7 of the Master Service Agreement dated 1 January 2025.</w:t>
      </w:r>
    </w:p>
    <w:p>
      <w:pPr>
        <w:pStyle w:val="BodyText"/>
      </w:pPr>
      <w:r>
        <w:rPr>
          <w:bCs/>
          <w:b/>
        </w:rPr>
        <w:t xml:space="preserve">Acceptance:</w:t>
      </w:r>
      <w:r>
        <w:t xml:space="preserve"> </w:t>
      </w:r>
      <w:r>
        <w:t xml:space="preserve">By signing below, the client acknowledges receipt of this Invoice and confirms that all services rendered by the Politician during the billing period were performed to the client's satisfaction and in full compliance with the scope of work defined in the original engagement letter.</w:t>
      </w:r>
    </w:p>
    <w:bookmarkEnd w:id="23"/>
    <w:p>
      <w:pPr>
        <w:pStyle w:val="BodyText"/>
      </w:pPr>
      <w:r>
        <w:t xml:space="preserve">Authorized Signature (Service Provider):</w:t>
      </w:r>
    </w:p>
    <w:p>
      <w:pPr>
        <w:pStyle w:val="BodyText"/>
      </w:pPr>
      <w:r>
        <w:t xml:space="preserve">Hon. Dmitry A. Volkov, Politician &amp; Principal</w:t>
      </w:r>
    </w:p>
    <w:p>
      <w:pPr>
        <w:pStyle w:val="BodyText"/>
      </w:pPr>
      <w:r>
        <w:t xml:space="preserve">Client Acknowledgment:</w:t>
      </w:r>
    </w:p>
    <w:p>
      <w:pPr>
        <w:pStyle w:val="BodyText"/>
      </w:pPr>
      <w:r>
        <w:t xml:space="preserve">Ms. Elena S. Petrova, CEO</w:t>
      </w:r>
    </w:p>
    <w:p>
      <w:pPr>
        <w:pStyle w:val="BodyText"/>
      </w:pPr>
      <w:r>
        <w:t xml:space="preserve">This Invoice was generated and issued in Russia Saint Petersburg, Russian Federation. It is valid for a period of 90 days from the date of issue. For disputes or queries regarding this Invoice, please contact the Volkov Political Advisory Group at the address listed above. All communications regarding this Invoice shall be conducted in writing and directed to the registered office in Russia Saint Petersburg.</w:t>
      </w:r>
    </w:p>
    <w:p>
      <w:pPr>
        <w:pStyle w:val="BodyText"/>
      </w:pPr>
      <w:r>
        <w:t xml:space="preserve">© 2025 Volkov Political Advisory Group. All rights reserved. Document Reference: VPA-2025-SP-0047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Political Advisory Services - Russia Saint Petersburg</dc:title>
  <dc:creator/>
  <dc:language>en</dc:language>
  <cp:keywords/>
  <dcterms:created xsi:type="dcterms:W3CDTF">2026-10-10T04:35:56Z</dcterms:created>
  <dcterms:modified xsi:type="dcterms:W3CDTF">2026-10-10T04:35:56Z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