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Political Advisory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TBB-POL-2025-0472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Thai Baht (THB)</w:t>
      </w:r>
    </w:p>
    <w:bookmarkEnd w:id="20"/>
    <w:bookmarkStart w:id="21" w:name="issued-by-service-provider"/>
    <w:p>
      <w:pPr>
        <w:pStyle w:val="Heading4"/>
      </w:pPr>
      <w:r>
        <w:t xml:space="preserve">Issued By (Service Provider)</w:t>
      </w:r>
    </w:p>
    <w:p>
      <w:pPr>
        <w:pStyle w:val="FirstParagraph"/>
      </w:pPr>
      <w:r>
        <w:rPr>
          <w:bCs/>
          <w:b/>
        </w:rPr>
        <w:t xml:space="preserve">Siam Political Strategy &amp; Advisory Co., Ltd.</w:t>
      </w:r>
    </w:p>
    <w:p>
      <w:pPr>
        <w:pStyle w:val="BodyText"/>
      </w:pPr>
      <w:r>
        <w:t xml:space="preserve">42/8 Sukhumvit Road, Soi 21</w:t>
      </w:r>
    </w:p>
    <w:p>
      <w:pPr>
        <w:pStyle w:val="BodyText"/>
      </w:pPr>
      <w:r>
        <w:t xml:space="preserve">Khlong Toei Nuea, Watthana</w:t>
      </w:r>
    </w:p>
    <w:p>
      <w:pPr>
        <w:pStyle w:val="BodyText"/>
      </w:pPr>
      <w:r>
        <w:t xml:space="preserve">Bangkok 10110, Thailand</w:t>
      </w:r>
    </w:p>
    <w:p>
      <w:pPr>
        <w:pStyle w:val="BodyText"/>
      </w:pPr>
      <w:r>
        <w:t xml:space="preserve">Tax ID (VAT): 0105556789012</w:t>
      </w:r>
    </w:p>
    <w:p>
      <w:pPr>
        <w:pStyle w:val="BodyText"/>
      </w:pPr>
      <w:r>
        <w:t xml:space="preserve">Tel: +66 2 255 8899</w:t>
      </w:r>
    </w:p>
    <w:p>
      <w:pPr>
        <w:pStyle w:val="BodyText"/>
      </w:pPr>
      <w:r>
        <w:t xml:space="preserve">Email: billing@siampolitical.co.th</w:t>
      </w:r>
    </w:p>
    <w:bookmarkEnd w:id="21"/>
    <w:bookmarkStart w:id="22" w:name="issued-to-client-politician"/>
    <w:p>
      <w:pPr>
        <w:pStyle w:val="Heading4"/>
      </w:pPr>
      <w:r>
        <w:t xml:space="preserve">Issued To (Client / Politician)</w:t>
      </w:r>
    </w:p>
    <w:p>
      <w:pPr>
        <w:pStyle w:val="FirstParagraph"/>
      </w:pPr>
      <w:r>
        <w:rPr>
          <w:bCs/>
          <w:b/>
        </w:rPr>
        <w:t xml:space="preserve">Hon. Dr. Somchai Prasert</w:t>
      </w:r>
    </w:p>
    <w:p>
      <w:pPr>
        <w:pStyle w:val="BodyText"/>
      </w:pPr>
      <w:r>
        <w:t xml:space="preserve">Member of Parliament, Bangkok District 14</w:t>
      </w:r>
    </w:p>
    <w:p>
      <w:pPr>
        <w:pStyle w:val="BodyText"/>
      </w:pPr>
      <w:r>
        <w:t xml:space="preserve">House of Representatives Office</w:t>
      </w:r>
    </w:p>
    <w:p>
      <w:pPr>
        <w:pStyle w:val="BodyText"/>
      </w:pPr>
      <w:r>
        <w:t xml:space="preserve">1116 Na Phra Lan Road, Dusit</w:t>
      </w:r>
    </w:p>
    <w:p>
      <w:pPr>
        <w:pStyle w:val="BodyText"/>
      </w:pPr>
      <w:r>
        <w:t xml:space="preserve">Bangkok 10300, Thailand</w:t>
      </w:r>
    </w:p>
    <w:p>
      <w:pPr>
        <w:pStyle w:val="BodyText"/>
      </w:pPr>
      <w:r>
        <w:t xml:space="preserve">Tax ID: 1103700123456</w:t>
      </w:r>
    </w:p>
    <w:p>
      <w:pPr>
        <w:pStyle w:val="BodyText"/>
      </w:pPr>
      <w:r>
        <w:t xml:space="preserve">Tel: +66 89 555 1234</w:t>
      </w:r>
    </w:p>
    <w:p>
      <w:pPr>
        <w:pStyle w:val="BodyText"/>
      </w:pPr>
      <w:r>
        <w:t xml:space="preserve">Email: office.somchai@parliament.go.th</w:t>
      </w:r>
    </w:p>
    <w:bookmarkEnd w:id="22"/>
    <w:bookmarkStart w:id="24" w:name="description-of-services-rendered"/>
    <w:p>
      <w:pPr>
        <w:pStyle w:val="Heading3"/>
      </w:pPr>
      <w:r>
        <w:t xml:space="preserve">Description of Services Rendered</w:t>
      </w:r>
    </w:p>
    <w:p>
      <w:pPr>
        <w:pStyle w:val="FirstParagraph"/>
      </w:pPr>
      <w:r>
        <w:t xml:space="preserve">The following Invoice covers professional political consulting, strategic advisory, and public engagement services provided to the Politician, Hon. Dr. Somchai Prasert, in connection with his legislative duties and constituency outreach programs within the Bangkok metropolitan area during the period of 1 April 2025 through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Strategic political advisory and policy briefing sessions for the Politician regarding Bangkok urban development legislation and municipal budget allocation</w:t>
            </w:r>
          </w:p>
        </w:tc>
        <w:tc>
          <w:tcPr/>
          <w:p>
            <w:pPr>
              <w:pStyle w:val="Compact"/>
              <w:jc w:val="left"/>
            </w:pPr>
            <w:r>
              <w:t xml:space="preserve">Apr 2025</w:t>
            </w:r>
          </w:p>
        </w:tc>
        <w:tc>
          <w:tcPr/>
          <w:p>
            <w:pPr>
              <w:pStyle w:val="Compact"/>
              <w:jc w:val="left"/>
            </w:pPr>
            <w:r>
              <w:t xml:space="preserve">12 hrs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Constituency engagement planning and execution for the Politician across Bangkok District 14, including community town halls and voter outreach events</w:t>
            </w:r>
          </w:p>
        </w:tc>
        <w:tc>
          <w:tcPr/>
          <w:p>
            <w:pPr>
              <w:pStyle w:val="Compact"/>
              <w:jc w:val="left"/>
            </w:pPr>
            <w:r>
              <w:t xml:space="preserve">Apr–May 2025</w:t>
            </w:r>
          </w:p>
        </w:tc>
        <w:tc>
          <w:tcPr/>
          <w:p>
            <w:pPr>
              <w:pStyle w:val="Compact"/>
              <w:jc w:val="left"/>
            </w:pPr>
            <w:r>
              <w:t xml:space="preserve">6 events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Media relations and public communications management for the Politician, including press release drafting, interview preparation, and social media strategy</w:t>
            </w:r>
          </w:p>
        </w:tc>
        <w:tc>
          <w:tcPr/>
          <w:p>
            <w:pPr>
              <w:pStyle w:val="Compact"/>
              <w:jc w:val="left"/>
            </w:pPr>
            <w:r>
              <w:t xml:space="preserve">Apr–May 2025</w:t>
            </w:r>
          </w:p>
        </w:tc>
        <w:tc>
          <w:tcPr/>
          <w:p>
            <w:pPr>
              <w:pStyle w:val="Compact"/>
              <w:jc w:val="left"/>
            </w:pPr>
            <w:r>
              <w:t xml:space="preserve">2 months</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04</w:t>
            </w:r>
          </w:p>
        </w:tc>
        <w:tc>
          <w:tcPr/>
          <w:p>
            <w:pPr>
              <w:pStyle w:val="Compact"/>
              <w:jc w:val="left"/>
            </w:pPr>
            <w:r>
              <w:t xml:space="preserve">Legislative research and policy analysis support for the Politician on proposed amendments to the Bangkok Metropolitan Administration Act</w:t>
            </w:r>
          </w:p>
        </w:tc>
        <w:tc>
          <w:tcPr/>
          <w:p>
            <w:pPr>
              <w:pStyle w:val="Compact"/>
              <w:jc w:val="left"/>
            </w:pPr>
            <w:r>
              <w:t xml:space="preserve">May 2025</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Staff coordination and administrative support for the Politician's Bangkok office, including scheduling, correspondence management, and meeting logistics</w:t>
            </w:r>
          </w:p>
        </w:tc>
        <w:tc>
          <w:tcPr/>
          <w:p>
            <w:pPr>
              <w:pStyle w:val="Compact"/>
              <w:jc w:val="left"/>
            </w:pPr>
            <w:r>
              <w:t xml:space="preserve">Apr–May 2025</w:t>
            </w:r>
          </w:p>
        </w:tc>
        <w:tc>
          <w:tcPr/>
          <w:p>
            <w:pPr>
              <w:pStyle w:val="Compact"/>
              <w:jc w:val="left"/>
            </w:pPr>
            <w:r>
              <w:t xml:space="preserve">2 months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06</w:t>
            </w:r>
          </w:p>
        </w:tc>
        <w:tc>
          <w:tcPr/>
          <w:p>
            <w:pPr>
              <w:pStyle w:val="Compact"/>
              <w:jc w:val="left"/>
            </w:pPr>
            <w:r>
              <w:t xml:space="preserve">Inter-party negotiation preparation and diplomatic briefing for the Politician ahead of the Bangkok regional council session</w:t>
            </w:r>
          </w:p>
        </w:tc>
        <w:tc>
          <w:tcPr/>
          <w:p>
            <w:pPr>
              <w:pStyle w:val="Compact"/>
              <w:jc w:val="left"/>
            </w:pPr>
            <w:r>
              <w:t xml:space="preserve">May 2025</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721,000.00</w:t>
            </w:r>
          </w:p>
        </w:tc>
      </w:tr>
      <w:tr>
        <w:tc>
          <w:tcPr/>
          <w:p>
            <w:pPr>
              <w:pStyle w:val="Compact"/>
              <w:jc w:val="left"/>
            </w:pPr>
            <w:r>
              <w:t xml:space="preserve">VAT (7%)</w:t>
            </w:r>
          </w:p>
        </w:tc>
        <w:tc>
          <w:tcPr/>
          <w:p>
            <w:pPr>
              <w:pStyle w:val="Compact"/>
              <w:jc w:val="right"/>
            </w:pPr>
            <w:r>
              <w:t xml:space="preserve">50,470.00</w:t>
            </w:r>
          </w:p>
        </w:tc>
      </w:tr>
      <w:tr>
        <w:tc>
          <w:tcPr/>
          <w:p>
            <w:pPr>
              <w:pStyle w:val="Compact"/>
              <w:jc w:val="left"/>
            </w:pPr>
            <w:r>
              <w:t xml:space="preserve">Withholding Tax (3%)</w:t>
            </w:r>
          </w:p>
        </w:tc>
        <w:tc>
          <w:tcPr/>
          <w:p>
            <w:pPr>
              <w:pStyle w:val="Compact"/>
              <w:jc w:val="right"/>
            </w:pPr>
            <w:r>
              <w:t xml:space="preserve">(21,630.00)</w:t>
            </w:r>
          </w:p>
        </w:tc>
      </w:tr>
      <w:tr>
        <w:tc>
          <w:tcPr/>
          <w:p>
            <w:pPr>
              <w:pStyle w:val="Compact"/>
              <w:jc w:val="left"/>
            </w:pPr>
            <w:r>
              <w:t xml:space="preserve">Net Amount Due</w:t>
            </w:r>
          </w:p>
        </w:tc>
        <w:tc>
          <w:tcPr/>
          <w:p>
            <w:pPr>
              <w:pStyle w:val="Compact"/>
              <w:jc w:val="right"/>
            </w:pPr>
            <w:r>
              <w:t xml:space="preserve">749,840.00</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Political Fund Act B.E. 2561 (2018) and all applicable regulations governing the expenditure of political funds by registered Politicians in Thailand. All services listed herein have been pre-approved by the Politician's designated financial officer.</w:t>
      </w:r>
    </w:p>
    <w:p>
      <w:pPr>
        <w:pStyle w:val="BodyText"/>
      </w:pPr>
      <w:r>
        <w:rPr>
          <w:bCs/>
          <w:b/>
        </w:rPr>
        <w:t xml:space="preserve">2.</w:t>
      </w:r>
      <w:r>
        <w:t xml:space="preserve"> </w:t>
      </w:r>
      <w:r>
        <w:t xml:space="preserve">Payment for this Invoice shall be made via bank transfer to: Siam Commercial Bank, Account No. 110-3-45678-9, Branch: Sukhumvit, Bangkok, Thailand. Please reference Invoice No. TBB-POL-2025-0472 on all remittances.</w:t>
      </w:r>
    </w:p>
    <w:p>
      <w:pPr>
        <w:pStyle w:val="BodyText"/>
      </w:pPr>
      <w:r>
        <w:rPr>
          <w:bCs/>
          <w:b/>
        </w:rPr>
        <w:t xml:space="preserve">3.</w:t>
      </w:r>
      <w:r>
        <w:t xml:space="preserve"> </w:t>
      </w:r>
      <w:r>
        <w:t xml:space="preserve">The Politician's office is requested to confirm receipt of this Invoice within five (5) business days. Any discrepancies in service descriptions or amounts must be reported to the billing department in writing prior to the due date of 30 June 2025.</w:t>
      </w:r>
    </w:p>
    <w:p>
      <w:pPr>
        <w:pStyle w:val="BodyText"/>
      </w:pPr>
      <w:r>
        <w:rPr>
          <w:bCs/>
          <w:b/>
        </w:rPr>
        <w:t xml:space="preserve">4.</w:t>
      </w:r>
      <w:r>
        <w:t xml:space="preserve"> </w:t>
      </w:r>
      <w:r>
        <w:t xml:space="preserve">All services were performed within the Bangkok metropolitan area, Thailand, and are subject to Thai tax law. The Politician is advised to retain this Invoice as part of the official political fund expenditure records for audit purposes by the Election Commission of Thailand (ECT).</w:t>
      </w:r>
    </w:p>
    <w:p>
      <w:pPr>
        <w:pStyle w:val="BodyText"/>
      </w:pPr>
      <w:r>
        <w:rPr>
          <w:bCs/>
          <w:b/>
        </w:rPr>
        <w:t xml:space="preserve">5.</w:t>
      </w:r>
      <w:r>
        <w:t xml:space="preserve"> </w:t>
      </w:r>
      <w:r>
        <w:t xml:space="preserve">This Invoice does not constitute a campaign contribution or donation. All charges represent legitimate professional services rendered to the Politician in the course of his official parliamentary duties in Bangkok.</w:t>
      </w:r>
    </w:p>
    <w:bookmarkEnd w:id="23"/>
    <w:p>
      <w:pPr>
        <w:pStyle w:val="BodyText"/>
      </w:pPr>
      <w:r>
        <w:t xml:space="preserve">This Invoice was generated by Siam Political Strategy &amp; Advisory Co., Ltd., a registered company in Thailand Bangkok, and is valid for a period of ninety (90) days from the date of issue. For queries regarding this Invoice, please contact our billing department at billing@siampolitical.co.th or +66 2 255 8899, Monday to Friday, 09:00–17:00 (ICT).</w:t>
      </w:r>
    </w:p>
    <w:p>
      <w:pPr>
        <w:pStyle w:val="BodyText"/>
      </w:pPr>
      <w:r>
        <w:t xml:space="preserve">© 2025 Siam Political Strategy &amp; Advisory Co., Ltd. | Bangkok, Thailand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Thailand Bangkok</dc:title>
  <dc:creator/>
  <dc:language>en</dc:language>
  <cp:keywords/>
  <dcterms:created xsi:type="dcterms:W3CDTF">2026-10-10T02:43:39Z</dcterms:created>
  <dcterms:modified xsi:type="dcterms:W3CDTF">2026-10-10T02:43:39Z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