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X5fbb42ac0625ba86dfd07062e2589c9a3dc3862"/>
    <w:p>
      <w:pPr>
        <w:pStyle w:val="Heading1"/>
      </w:pPr>
      <w:r>
        <w:t xml:space="preserve">Capital Advisory &amp; Political Strategy Group</w:t>
      </w:r>
    </w:p>
    <w:p>
      <w:pPr>
        <w:pStyle w:val="FirstParagraph"/>
      </w:pPr>
      <w:r>
        <w:t xml:space="preserve">145 Kızılay Mahallesi, Atatürk Bulvarı No: 212/4</w:t>
      </w:r>
    </w:p>
    <w:p>
      <w:pPr>
        <w:pStyle w:val="BodyText"/>
      </w:pPr>
      <w:r>
        <w:t xml:space="preserve">06420 Çankaya, Ankara, Turkey</w:t>
      </w:r>
    </w:p>
    <w:p>
      <w:pPr>
        <w:pStyle w:val="BodyText"/>
      </w:pPr>
      <w:r>
        <w:t xml:space="preserve">Tax ID (VKN): 1234567890</w:t>
      </w:r>
    </w:p>
    <w:p>
      <w:pPr>
        <w:pStyle w:val="BodyText"/>
      </w:pPr>
      <w:r>
        <w:t xml:space="preserve">Phone: +90 (312) 456 7890 | Email: billing@capitaladvisorytr.com</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INV-2025-ANK-00487</w:t>
      </w:r>
    </w:p>
    <w:p>
      <w:pPr>
        <w:pStyle w:val="BodyText"/>
      </w:pPr>
      <w:r>
        <w:t xml:space="preserve">Date of Issue: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Hon. Dr. Mehmet Kaya</w:t>
      </w:r>
    </w:p>
    <w:p>
      <w:pPr>
        <w:pStyle w:val="BodyText"/>
      </w:pPr>
      <w:r>
        <w:t xml:space="preserve">Politician – Member of the Grand National Assembly</w:t>
      </w:r>
    </w:p>
    <w:p>
      <w:pPr>
        <w:pStyle w:val="BodyText"/>
      </w:pPr>
      <w:r>
        <w:t xml:space="preserve">Committee on Foreign Affairs, TBMM</w:t>
      </w:r>
    </w:p>
    <w:p>
      <w:pPr>
        <w:pStyle w:val="BodyText"/>
      </w:pPr>
      <w:r>
        <w:t xml:space="preserve">Ankara, Turkey</w:t>
      </w:r>
    </w:p>
    <w:p>
      <w:pPr>
        <w:pStyle w:val="BodyText"/>
      </w:pPr>
      <w:r>
        <w:t xml:space="preserve">Office: TBMM, 06070 Ulu Önder Bulvarı, Ankara</w:t>
      </w:r>
    </w:p>
    <w:bookmarkEnd w:id="22"/>
    <w:bookmarkStart w:id="23" w:name="engagement-reference"/>
    <w:p>
      <w:pPr>
        <w:pStyle w:val="Heading3"/>
      </w:pPr>
      <w:r>
        <w:t xml:space="preserve">Engagement Reference</w:t>
      </w:r>
    </w:p>
    <w:p>
      <w:pPr>
        <w:pStyle w:val="FirstParagraph"/>
      </w:pPr>
      <w:r>
        <w:t xml:space="preserve">Contract No: CASG-2025-POL-112</w:t>
      </w:r>
    </w:p>
    <w:p>
      <w:pPr>
        <w:pStyle w:val="BodyText"/>
      </w:pPr>
      <w:r>
        <w:t xml:space="preserve">Service Period: 01 May 2025 – 31 May 2025</w:t>
      </w:r>
    </w:p>
    <w:p>
      <w:pPr>
        <w:pStyle w:val="BodyText"/>
      </w:pPr>
      <w:r>
        <w:t xml:space="preserve">Project: Electoral Strategy &amp; Public Policy Advisory</w:t>
      </w:r>
    </w:p>
    <w:p>
      <w:pPr>
        <w:pStyle w:val="BodyText"/>
      </w:pPr>
      <w:r>
        <w:t xml:space="preserve">Location: Ankara, Turkey</w:t>
      </w:r>
    </w:p>
    <w:bookmarkEnd w:id="23"/>
    <w:bookmarkStart w:id="24" w:name="X9f63788f14081a14afb2a474addf46ad2a0910e"/>
    <w:p>
      <w:pPr>
        <w:pStyle w:val="Heading2"/>
      </w:pPr>
      <w:r>
        <w:t xml:space="preserve">Itemized Services Rendered for the Politician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electoral strategy development and voter demographic analysis for the Politician's upcoming regional campaign in the Ankara metropolitan district, including focus group coordination and polling data interpretation.</w:t>
            </w:r>
          </w:p>
        </w:tc>
        <w:tc>
          <w:tcPr/>
          <w:p>
            <w:pPr>
              <w:pStyle w:val="Compact"/>
              <w:jc w:val="left"/>
            </w:pPr>
            <w:r>
              <w:t xml:space="preserve">Strategic Consulting</w:t>
            </w:r>
          </w:p>
        </w:tc>
        <w:tc>
          <w:tcPr/>
          <w:p>
            <w:pPr>
              <w:pStyle w:val="Compact"/>
              <w:jc w:val="left"/>
            </w:pPr>
            <w:r>
              <w:t xml:space="preserve">48 hours</w:t>
            </w:r>
          </w:p>
        </w:tc>
        <w:tc>
          <w:tcPr/>
          <w:p>
            <w:pPr>
              <w:pStyle w:val="Compact"/>
              <w:jc w:val="left"/>
            </w:pPr>
            <w:r>
              <w:t xml:space="preserve">₺2,500.00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Drafting and revision of three (3) public policy white papers on economic reform, infrastructure development, and social welfare programs to be presented by the Politician during parliamentary sessions at the Grand National Assembly in Ankara.</w:t>
            </w:r>
          </w:p>
        </w:tc>
        <w:tc>
          <w:tcPr/>
          <w:p>
            <w:pPr>
              <w:pStyle w:val="Compact"/>
              <w:jc w:val="left"/>
            </w:pPr>
            <w:r>
              <w:t xml:space="preserve">Policy Research &amp; Writing</w:t>
            </w:r>
          </w:p>
        </w:tc>
        <w:tc>
          <w:tcPr/>
          <w:p>
            <w:pPr>
              <w:pStyle w:val="Compact"/>
              <w:jc w:val="left"/>
            </w:pPr>
            <w:r>
              <w:t xml:space="preserve">3 documents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3</w:t>
            </w:r>
          </w:p>
        </w:tc>
        <w:tc>
          <w:tcPr/>
          <w:p>
            <w:pPr>
              <w:pStyle w:val="Compact"/>
              <w:jc w:val="left"/>
            </w:pPr>
            <w:r>
              <w:t xml:space="preserve">Media relations management and press conference preparation for the Politician, including drafting of key talking points, Q&amp;A rehearsal sessions, and coordination with Ankara-based news outlets and international correspondents stationed in Turkey.</w:t>
            </w:r>
          </w:p>
        </w:tc>
        <w:tc>
          <w:tcPr/>
          <w:p>
            <w:pPr>
              <w:pStyle w:val="Compact"/>
              <w:jc w:val="left"/>
            </w:pPr>
            <w:r>
              <w:t xml:space="preserve">Communications</w:t>
            </w:r>
          </w:p>
        </w:tc>
        <w:tc>
          <w:tcPr/>
          <w:p>
            <w:pPr>
              <w:pStyle w:val="Compact"/>
              <w:jc w:val="left"/>
            </w:pPr>
            <w:r>
              <w:t xml:space="preserve">32 hours</w:t>
            </w:r>
          </w:p>
        </w:tc>
        <w:tc>
          <w:tcPr/>
          <w:p>
            <w:pPr>
              <w:pStyle w:val="Compact"/>
              <w:jc w:val="left"/>
            </w:pPr>
            <w:r>
              <w:t xml:space="preserve">₺1,800.00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Stakeholder mapping and coalition-building advisory for the Politician, involving meetings with local municipal leaders, business chambers, and civil society organizations across the Ankara region to strengthen political alliances ahead of the legislative session.</w:t>
            </w:r>
          </w:p>
        </w:tc>
        <w:tc>
          <w:tcPr/>
          <w:p>
            <w:pPr>
              <w:pStyle w:val="Compact"/>
              <w:jc w:val="left"/>
            </w:pPr>
            <w:r>
              <w:t xml:space="preserve">Political Advisory</w:t>
            </w:r>
          </w:p>
        </w:tc>
        <w:tc>
          <w:tcPr/>
          <w:p>
            <w:pPr>
              <w:pStyle w:val="Compact"/>
              <w:jc w:val="left"/>
            </w:pPr>
            <w:r>
              <w:t xml:space="preserve">24 hours</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5</w:t>
            </w:r>
          </w:p>
        </w:tc>
        <w:tc>
          <w:tcPr/>
          <w:p>
            <w:pPr>
              <w:pStyle w:val="Compact"/>
              <w:jc w:val="left"/>
            </w:pPr>
            <w:r>
              <w:t xml:space="preserve">Digital campaign infrastructure setup and social media content strategy for the Politician's official channels, including website optimization, targeted advertising campaign management, and weekly performance analytics reporting conducted from our Ankara headquarters.</w:t>
            </w:r>
          </w:p>
        </w:tc>
        <w:tc>
          <w:tcPr/>
          <w:p>
            <w:pPr>
              <w:pStyle w:val="Compact"/>
              <w:jc w:val="left"/>
            </w:pPr>
            <w:r>
              <w:t xml:space="preserve">Digital Strategy</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Legal compliance review of all campaign materials, fundraising disclosures, and public expenditure reports to ensure full adherence to the Turkish Election Law (No. 298) and regulations enforced by the Supreme Election Council (YSK) in Ankara.</w:t>
            </w:r>
          </w:p>
        </w:tc>
        <w:tc>
          <w:tcPr/>
          <w:p>
            <w:pPr>
              <w:pStyle w:val="Compact"/>
              <w:jc w:val="left"/>
            </w:pPr>
            <w:r>
              <w:t xml:space="preserve">Legal Compliance</w:t>
            </w:r>
          </w:p>
        </w:tc>
        <w:tc>
          <w:tcPr/>
          <w:p>
            <w:pPr>
              <w:pStyle w:val="Compact"/>
              <w:jc w:val="left"/>
            </w:pPr>
            <w:r>
              <w:t xml:space="preserve">16 hours</w:t>
            </w:r>
          </w:p>
        </w:tc>
        <w:tc>
          <w:tcPr/>
          <w:p>
            <w:pPr>
              <w:pStyle w:val="Compact"/>
              <w:jc w:val="left"/>
            </w:pPr>
            <w:r>
              <w:t xml:space="preserve">₺2,000.00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₺412,400.00</w:t>
            </w:r>
          </w:p>
        </w:tc>
      </w:tr>
      <w:tr>
        <w:tc>
          <w:tcPr/>
          <w:p>
            <w:pPr>
              <w:pStyle w:val="Compact"/>
              <w:jc w:val="left"/>
            </w:pPr>
            <w:r>
              <w:t xml:space="preserve">VAT (KDV) – 20%</w:t>
            </w:r>
          </w:p>
        </w:tc>
        <w:tc>
          <w:tcPr/>
          <w:p>
            <w:pPr>
              <w:pStyle w:val="Compact"/>
              <w:jc w:val="right"/>
            </w:pPr>
            <w:r>
              <w:t xml:space="preserve">₺82,480.00</w:t>
            </w:r>
          </w:p>
        </w:tc>
      </w:tr>
      <w:tr>
        <w:tc>
          <w:tcPr/>
          <w:p>
            <w:pPr>
              <w:pStyle w:val="Compact"/>
              <w:jc w:val="left"/>
            </w:pPr>
            <w:r>
              <w:t xml:space="preserve">Service Tax (Hizmet Vergisi)</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₺494,880.00</w:t>
            </w:r>
          </w:p>
        </w:tc>
      </w:tr>
    </w:tbl>
    <w:p>
      <w:pPr>
        <w:pStyle w:val="BodyText"/>
      </w:pPr>
      <w:r>
        <w:rPr>
          <w:bCs/>
          <w:b/>
        </w:rPr>
        <w:t xml:space="preserve">Payment Note:</w:t>
      </w:r>
      <w:r>
        <w:t xml:space="preserve"> </w:t>
      </w:r>
      <w:r>
        <w:t xml:space="preserve">This Invoice is issued in accordance with the engagement contract between Capital Advisory &amp; Political Strategy Group and the Politician, Hon. Dr. Mehmet Kaya. All services were rendered in Ankara, Turkey, during the specified service period. Payment is to be made via bank transfer to the account details listed below. Late payments are subject to a penalty of 1.5% per month as stipulated in the Turkish Commercial Code (Türk Ticaret Kanunu, Article 30).</w:t>
      </w:r>
    </w:p>
    <w:bookmarkEnd w:id="24"/>
    <w:bookmarkStart w:id="26" w:name="payment-instructions"/>
    <w:p>
      <w:pPr>
        <w:pStyle w:val="Heading2"/>
      </w:pPr>
      <w:r>
        <w:t xml:space="preserve">Payment Instructions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 Name:</w:t>
            </w:r>
          </w:p>
        </w:tc>
        <w:tc>
          <w:tcPr/>
          <w:p>
            <w:pPr>
              <w:pStyle w:val="Compact"/>
              <w:jc w:val="left"/>
            </w:pPr>
            <w:r>
              <w:t xml:space="preserve">Ziraat Bankası A.Ş. – Ankara Çankaya Branch</w:t>
            </w:r>
          </w:p>
        </w:tc>
      </w:tr>
      <w:tr>
        <w:tc>
          <w:tcPr/>
          <w:p>
            <w:pPr>
              <w:pStyle w:val="Compact"/>
              <w:jc w:val="left"/>
            </w:pPr>
            <w:r>
              <w:rPr>
                <w:bCs/>
                <w:b/>
              </w:rPr>
              <w:t xml:space="preserve">Account Name:</w:t>
            </w:r>
          </w:p>
        </w:tc>
        <w:tc>
          <w:tcPr/>
          <w:p>
            <w:pPr>
              <w:pStyle w:val="Compact"/>
              <w:jc w:val="left"/>
            </w:pPr>
            <w:r>
              <w:t xml:space="preserve">Capital Advisory &amp; Political Strategy Group Ltd. (A.Ş.)</w:t>
            </w:r>
          </w:p>
        </w:tc>
      </w:tr>
      <w:tr>
        <w:tc>
          <w:tcPr/>
          <w:p>
            <w:pPr>
              <w:pStyle w:val="Compact"/>
              <w:jc w:val="left"/>
            </w:pPr>
            <w:r>
              <w:rPr>
                <w:bCs/>
                <w:b/>
              </w:rPr>
              <w:t xml:space="preserve">IBAN:</w:t>
            </w:r>
          </w:p>
        </w:tc>
        <w:tc>
          <w:tcPr/>
          <w:p>
            <w:pPr>
              <w:pStyle w:val="Compact"/>
              <w:jc w:val="left"/>
            </w:pPr>
            <w:r>
              <w:t xml:space="preserve">TR12 0001 0000 1234 5678 9012 34</w:t>
            </w:r>
          </w:p>
        </w:tc>
      </w:tr>
      <w:tr>
        <w:tc>
          <w:tcPr/>
          <w:p>
            <w:pPr>
              <w:pStyle w:val="Compact"/>
              <w:jc w:val="left"/>
            </w:pPr>
            <w:r>
              <w:rPr>
                <w:bCs/>
                <w:b/>
              </w:rPr>
              <w:t xml:space="preserve">SWIFT/BIC:</w:t>
            </w:r>
          </w:p>
        </w:tc>
        <w:tc>
          <w:tcPr/>
          <w:p>
            <w:pPr>
              <w:pStyle w:val="Compact"/>
              <w:jc w:val="left"/>
            </w:pPr>
            <w:r>
              <w:t xml:space="preserve">TRTBTR2A</w:t>
            </w:r>
          </w:p>
        </w:tc>
      </w:tr>
      <w:tr>
        <w:tc>
          <w:tcPr/>
          <w:p>
            <w:pPr>
              <w:pStyle w:val="Compact"/>
              <w:jc w:val="left"/>
            </w:pPr>
            <w:r>
              <w:rPr>
                <w:bCs/>
                <w:b/>
              </w:rPr>
              <w:t xml:space="preserve">Reference:</w:t>
            </w:r>
          </w:p>
        </w:tc>
        <w:tc>
          <w:tcPr/>
          <w:p>
            <w:pPr>
              <w:pStyle w:val="Compact"/>
              <w:jc w:val="left"/>
            </w:pPr>
            <w:r>
              <w:t xml:space="preserve">INV-2025-ANK-00487 / Politician Engagement / Ankara</w:t>
            </w:r>
          </w:p>
        </w:tc>
      </w:tr>
    </w:tbl>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professional political consulting, advisory, and strategic services provided to the Politician in the capacity of a public representative serving in Ankara, Turkey.</w:t>
      </w:r>
    </w:p>
    <w:p>
      <w:pPr>
        <w:numPr>
          <w:ilvl w:val="0"/>
          <w:numId w:val="1001"/>
        </w:numPr>
        <w:pStyle w:val="Compact"/>
      </w:pPr>
      <w:r>
        <w:t xml:space="preserve">All intellectual property, including but not limited to policy documents, campaign strategies, and media materials produced under this engagement, shall remain the exclusive property of the Politician upon full settlement of this Invoice.</w:t>
      </w:r>
    </w:p>
    <w:p>
      <w:pPr>
        <w:numPr>
          <w:ilvl w:val="0"/>
          <w:numId w:val="1001"/>
        </w:numPr>
        <w:pStyle w:val="Compact"/>
      </w:pPr>
      <w:r>
        <w:t xml:space="preserve">Confidentiality obligations as outlined in Section 7 of the master service agreement remain in full force and effect. No information pertaining to the Politician's political activities, coalition negotiations, or electoral strategies in Turkey Ankara shall be disclosed to any third party without written consent.</w:t>
      </w:r>
    </w:p>
    <w:p>
      <w:pPr>
        <w:numPr>
          <w:ilvl w:val="0"/>
          <w:numId w:val="1001"/>
        </w:numPr>
        <w:pStyle w:val="Compact"/>
      </w:pPr>
      <w:r>
        <w:t xml:space="preserve">This Invoice is valid for payment within fifteen (15) calendar days from the date of issue. The Politician's office is requested to process payment through the designated financial channels of the Grand National Assembly or via direct bank transfer as specified above.</w:t>
      </w:r>
    </w:p>
    <w:p>
      <w:pPr>
        <w:numPr>
          <w:ilvl w:val="0"/>
          <w:numId w:val="1001"/>
        </w:numPr>
        <w:pStyle w:val="Compact"/>
      </w:pPr>
      <w:r>
        <w:t xml:space="preserve">Any disputes arising from this Invoice shall be resolved under the jurisdiction of the Ankara Commercial Courts, in accordance with the laws of the Republic of Turkey.</w:t>
      </w:r>
    </w:p>
    <w:p>
      <w:pPr>
        <w:numPr>
          <w:ilvl w:val="0"/>
          <w:numId w:val="1001"/>
        </w:numPr>
        <w:pStyle w:val="Compact"/>
      </w:pPr>
      <w:r>
        <w:t xml:space="preserve">This document is generated electronically and carries the same legal validity as a stamped original under the Turkish Electronic Commerce Law (Law No. 6563) and the Turkish Code of Obligations.</w:t>
      </w:r>
    </w:p>
    <w:bookmarkEnd w:id="25"/>
    <w:p>
      <w:pPr>
        <w:pStyle w:val="FirstParagraph"/>
      </w:pPr>
      <w:r>
        <w:rPr>
          <w:bCs/>
          <w:b/>
        </w:rPr>
        <w:t xml:space="preserve">Capital Advisory &amp; Political Strategy Group A.Ş.</w:t>
      </w:r>
      <w:r>
        <w:t xml:space="preserve"> </w:t>
      </w:r>
      <w:r>
        <w:t xml:space="preserve">| Registered in Ankara, Turkey | Trade Registry No: 123456</w:t>
      </w:r>
    </w:p>
    <w:p>
      <w:pPr>
        <w:pStyle w:val="BodyText"/>
      </w:pPr>
      <w:r>
        <w:t xml:space="preserve">This Invoice was prepared in Ankara, Turkey, on 15 June 2025. For inquiries regarding this document, please contact our billing department at billing@capitaladvisorytr.com or +90 (312) 456 7890.</w:t>
      </w:r>
    </w:p>
    <w:p>
      <w:pPr>
        <w:pStyle w:val="BodyText"/>
      </w:pPr>
      <w:r>
        <w:t xml:space="preserve">© 2025 Capital Advisory &amp; Political Strategy Group. All rights reserved. Document ID: INV-2025-ANK-00487 | Politician Client File: POL-ANK-2025-003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Turkey Ankara</dc:title>
  <dc:creator/>
  <dc:language>en</dc:language>
  <cp:keywords/>
  <dcterms:created xsi:type="dcterms:W3CDTF">2026-10-10T02:35:35Z</dcterms:created>
  <dcterms:modified xsi:type="dcterms:W3CDTF">2026-10-10T02:35:35Z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