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Politician</w:t>
      </w:r>
      <w:r>
        <w:t xml:space="preserve"> </w:t>
      </w:r>
      <w:r>
        <w:t xml:space="preserve">Advisory</w:t>
      </w:r>
      <w:r>
        <w:t xml:space="preserve"> </w:t>
      </w:r>
      <w:r>
        <w:t xml:space="preserve">Services</w:t>
      </w:r>
      <w:r>
        <w:t xml:space="preserve"> </w:t>
      </w:r>
      <w:r>
        <w:t xml:space="preserve">-</w:t>
      </w:r>
      <w:r>
        <w:t xml:space="preserve"> </w:t>
      </w:r>
      <w:r>
        <w:t xml:space="preserve">Turkey</w:t>
      </w:r>
      <w:r>
        <w:t xml:space="preserve"> </w:t>
      </w:r>
      <w:r>
        <w:t xml:space="preserve">Istanbul</w:t>
      </w:r>
    </w:p>
    <w:bookmarkStart w:id="20" w:name="invoice"/>
    <w:p>
      <w:pPr>
        <w:pStyle w:val="Heading1"/>
      </w:pPr>
      <w:r>
        <w:t xml:space="preserve">INVOICE</w:t>
      </w:r>
    </w:p>
    <w:p>
      <w:pPr>
        <w:pStyle w:val="FirstParagraph"/>
      </w:pPr>
      <w:r>
        <w:t xml:space="preserve">Politician Advisory &amp; Public Affairs Services</w:t>
      </w:r>
    </w:p>
    <w:p>
      <w:pPr>
        <w:pStyle w:val="BodyText"/>
      </w:pPr>
      <w:r>
        <w:t xml:space="preserve">Serving the Political Landscape of Turkey Istanbul</w:t>
      </w:r>
    </w:p>
    <w:bookmarkEnd w:id="20"/>
    <w:p>
      <w:pPr>
        <w:pStyle w:val="BodyText"/>
      </w:pPr>
      <w:r>
        <w:rPr>
          <w:bCs/>
          <w:b/>
        </w:rPr>
        <w:t xml:space="preserve">Invoice No:</w:t>
      </w:r>
      <w:r>
        <w:t xml:space="preserve"> </w:t>
      </w:r>
      <w:r>
        <w:t xml:space="preserve">TR-IST-2025-04871</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Turkish Lira (TRY)</w:t>
      </w:r>
    </w:p>
    <w:bookmarkStart w:id="21" w:name="issued-by-service-provider"/>
    <w:p>
      <w:pPr>
        <w:pStyle w:val="Heading3"/>
      </w:pPr>
      <w:r>
        <w:t xml:space="preserve">Issued By (Service Provider)</w:t>
      </w:r>
    </w:p>
    <w:p>
      <w:pPr>
        <w:pStyle w:val="FirstParagraph"/>
      </w:pPr>
      <w:r>
        <w:rPr>
          <w:bCs/>
          <w:b/>
        </w:rPr>
        <w:t xml:space="preserve">Dr. Mehmet Kaya</w:t>
      </w:r>
    </w:p>
    <w:p>
      <w:pPr>
        <w:pStyle w:val="BodyText"/>
      </w:pPr>
      <w:r>
        <w:t xml:space="preserve">Senior Politician &amp; Political Strategist</w:t>
      </w:r>
    </w:p>
    <w:p>
      <w:pPr>
        <w:pStyle w:val="BodyText"/>
      </w:pPr>
      <w:r>
        <w:t xml:space="preserve">Karaköy Business District, No. 42</w:t>
      </w:r>
    </w:p>
    <w:p>
      <w:pPr>
        <w:pStyle w:val="BodyText"/>
      </w:pPr>
      <w:r>
        <w:t xml:space="preserve">Beyoğlu, Istanbul 34425</w:t>
      </w:r>
    </w:p>
    <w:p>
      <w:pPr>
        <w:pStyle w:val="BodyText"/>
      </w:pPr>
      <w:r>
        <w:t xml:space="preserve">Turkey</w:t>
      </w:r>
    </w:p>
    <w:p>
      <w:pPr>
        <w:pStyle w:val="BodyText"/>
      </w:pPr>
      <w:r>
        <w:t xml:space="preserve">Tax ID (VKN): 1234567890</w:t>
      </w:r>
    </w:p>
    <w:p>
      <w:pPr>
        <w:pStyle w:val="BodyText"/>
      </w:pPr>
      <w:r>
        <w:t xml:space="preserve">Email: m.kaya@politicianadvisory.tr</w:t>
      </w:r>
    </w:p>
    <w:p>
      <w:pPr>
        <w:pStyle w:val="BodyText"/>
      </w:pPr>
      <w:r>
        <w:t xml:space="preserve">Phone: +90 212 555 0147</w:t>
      </w:r>
    </w:p>
    <w:bookmarkEnd w:id="21"/>
    <w:bookmarkStart w:id="22" w:name="billed-to-client"/>
    <w:p>
      <w:pPr>
        <w:pStyle w:val="Heading3"/>
      </w:pPr>
      <w:r>
        <w:t xml:space="preserve">Billed To (Client)</w:t>
      </w:r>
    </w:p>
    <w:p>
      <w:pPr>
        <w:pStyle w:val="FirstParagraph"/>
      </w:pPr>
      <w:r>
        <w:rPr>
          <w:bCs/>
          <w:b/>
        </w:rPr>
        <w:t xml:space="preserve">İstanbul Metropolitan Municipality</w:t>
      </w:r>
    </w:p>
    <w:p>
      <w:pPr>
        <w:pStyle w:val="BodyText"/>
      </w:pPr>
      <w:r>
        <w:t xml:space="preserve">Office of Public Affairs &amp; Communications</w:t>
      </w:r>
    </w:p>
    <w:p>
      <w:pPr>
        <w:pStyle w:val="BodyText"/>
      </w:pPr>
      <w:r>
        <w:t xml:space="preserve">Beşiktaş, Istanbul 34353</w:t>
      </w:r>
    </w:p>
    <w:p>
      <w:pPr>
        <w:pStyle w:val="BodyText"/>
      </w:pPr>
      <w:r>
        <w:t xml:space="preserve">Turkey</w:t>
      </w:r>
    </w:p>
    <w:p>
      <w:pPr>
        <w:pStyle w:val="BodyText"/>
      </w:pPr>
      <w:r>
        <w:t xml:space="preserve">Tax ID (VKN): 9876543210</w:t>
      </w:r>
    </w:p>
    <w:p>
      <w:pPr>
        <w:pStyle w:val="BodyText"/>
      </w:pPr>
      <w:r>
        <w:t xml:space="preserve">Attn: Director of Strategic Communications</w:t>
      </w:r>
    </w:p>
    <w:p>
      <w:pPr>
        <w:pStyle w:val="BodyText"/>
      </w:pPr>
      <w:r>
        <w:t xml:space="preserve">Email: publicaffairs@istanbul.bel.tr</w:t>
      </w:r>
    </w:p>
    <w:p>
      <w:pPr>
        <w:pStyle w:val="BodyText"/>
      </w:pPr>
      <w:r>
        <w:t xml:space="preserve">Phone: +90 212 444 8800</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Date Rendered</w:t>
            </w:r>
          </w:p>
        </w:tc>
        <w:tc>
          <w:tcPr/>
          <w:p>
            <w:pPr>
              <w:pStyle w:val="Compact"/>
              <w:jc w:val="left"/>
            </w:pPr>
            <w:r>
              <w:t xml:space="preserve">Quantity / Hours</w:t>
            </w:r>
          </w:p>
        </w:tc>
        <w:tc>
          <w:tcPr/>
          <w:p>
            <w:pPr>
              <w:pStyle w:val="Compact"/>
              <w:jc w:val="left"/>
            </w:pPr>
            <w:r>
              <w:t xml:space="preserve">Rate (TRY)</w:t>
            </w:r>
          </w:p>
        </w:tc>
        <w:tc>
          <w:tcPr/>
          <w:p>
            <w:pPr>
              <w:pStyle w:val="Compact"/>
              <w:jc w:val="left"/>
            </w:pPr>
            <w:r>
              <w:t xml:space="preserve">Amount (TRY)</w:t>
            </w:r>
          </w:p>
        </w:tc>
      </w:tr>
      <w:tr>
        <w:tc>
          <w:tcPr/>
          <w:p>
            <w:pPr>
              <w:pStyle w:val="Compact"/>
              <w:jc w:val="left"/>
            </w:pPr>
            <w:r>
              <w:t xml:space="preserve">1</w:t>
            </w:r>
          </w:p>
        </w:tc>
        <w:tc>
          <w:tcPr/>
          <w:p>
            <w:pPr>
              <w:pStyle w:val="Compact"/>
              <w:jc w:val="left"/>
            </w:pPr>
            <w:r>
              <w:t xml:space="preserve">Strategic political advisory session for the Istanbul municipal election campaign. The politician provided comprehensive guidance on voter engagement strategies specific to the Turkey Istanbul metropolitan region, including demographic analysis and policy positioning recommendations.</w:t>
            </w:r>
          </w:p>
        </w:tc>
        <w:tc>
          <w:tcPr/>
          <w:p>
            <w:pPr>
              <w:pStyle w:val="Compact"/>
              <w:jc w:val="left"/>
            </w:pPr>
            <w:r>
              <w:t xml:space="preserve">02 Jun 2025</w:t>
            </w:r>
          </w:p>
        </w:tc>
        <w:tc>
          <w:tcPr/>
          <w:p>
            <w:pPr>
              <w:pStyle w:val="Compact"/>
              <w:jc w:val="left"/>
            </w:pPr>
            <w:r>
              <w:t xml:space="preserve">8 hours</w:t>
            </w:r>
          </w:p>
        </w:tc>
        <w:tc>
          <w:tcPr/>
          <w:p>
            <w:pPr>
              <w:pStyle w:val="Compact"/>
              <w:jc w:val="left"/>
            </w:pPr>
            <w:r>
              <w:t xml:space="preserve">2,500.00</w:t>
            </w:r>
          </w:p>
        </w:tc>
        <w:tc>
          <w:tcPr/>
          <w:p>
            <w:pPr>
              <w:pStyle w:val="Compact"/>
              <w:jc w:val="left"/>
            </w:pPr>
            <w:r>
              <w:t xml:space="preserve">20,000.00</w:t>
            </w:r>
          </w:p>
        </w:tc>
      </w:tr>
      <w:tr>
        <w:tc>
          <w:tcPr/>
          <w:p>
            <w:pPr>
              <w:pStyle w:val="Compact"/>
              <w:jc w:val="left"/>
            </w:pPr>
            <w:r>
              <w:t xml:space="preserve">2</w:t>
            </w:r>
          </w:p>
        </w:tc>
        <w:tc>
          <w:tcPr/>
          <w:p>
            <w:pPr>
              <w:pStyle w:val="Compact"/>
              <w:jc w:val="left"/>
            </w:pPr>
            <w:r>
              <w:t xml:space="preserve">Public speaking engagement at the Istanbul International Political Forum. The politician delivered a keynote address on urban governance, inter-municipal cooperation, and the role of local leadership in shaping national policy within Turkey Istanbul's diverse political ecosystem.</w:t>
            </w:r>
          </w:p>
        </w:tc>
        <w:tc>
          <w:tcPr/>
          <w:p>
            <w:pPr>
              <w:pStyle w:val="Compact"/>
              <w:jc w:val="left"/>
            </w:pPr>
            <w:r>
              <w:t xml:space="preserve">05 Jun 2025</w:t>
            </w:r>
          </w:p>
        </w:tc>
        <w:tc>
          <w:tcPr/>
          <w:p>
            <w:pPr>
              <w:pStyle w:val="Compact"/>
              <w:jc w:val="left"/>
            </w:pPr>
            <w:r>
              <w:t xml:space="preserve">1 event</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3</w:t>
            </w:r>
          </w:p>
        </w:tc>
        <w:tc>
          <w:tcPr/>
          <w:p>
            <w:pPr>
              <w:pStyle w:val="Compact"/>
              <w:jc w:val="left"/>
            </w:pPr>
            <w:r>
              <w:t xml:space="preserve">Media training and press conference preparation for municipal council members. The politician conducted a full-day workshop covering crisis communication, interview techniques, and public perception management tailored to the political environment of Turkey Istanbul.</w:t>
            </w:r>
          </w:p>
        </w:tc>
        <w:tc>
          <w:tcPr/>
          <w:p>
            <w:pPr>
              <w:pStyle w:val="Compact"/>
              <w:jc w:val="left"/>
            </w:pPr>
            <w:r>
              <w:t xml:space="preserve">08 Jun 2025</w:t>
            </w:r>
          </w:p>
        </w:tc>
        <w:tc>
          <w:tcPr/>
          <w:p>
            <w:pPr>
              <w:pStyle w:val="Compact"/>
              <w:jc w:val="left"/>
            </w:pPr>
            <w:r>
              <w:t xml:space="preserve">6 hours</w:t>
            </w:r>
          </w:p>
        </w:tc>
        <w:tc>
          <w:tcPr/>
          <w:p>
            <w:pPr>
              <w:pStyle w:val="Compact"/>
              <w:jc w:val="left"/>
            </w:pPr>
            <w:r>
              <w:t xml:space="preserve">3,000.00</w:t>
            </w:r>
          </w:p>
        </w:tc>
        <w:tc>
          <w:tcPr/>
          <w:p>
            <w:pPr>
              <w:pStyle w:val="Compact"/>
              <w:jc w:val="left"/>
            </w:pPr>
            <w:r>
              <w:t xml:space="preserve">18,000.00</w:t>
            </w:r>
          </w:p>
        </w:tc>
      </w:tr>
      <w:tr>
        <w:tc>
          <w:tcPr/>
          <w:p>
            <w:pPr>
              <w:pStyle w:val="Compact"/>
              <w:jc w:val="left"/>
            </w:pPr>
            <w:r>
              <w:t xml:space="preserve">4</w:t>
            </w:r>
          </w:p>
        </w:tc>
        <w:tc>
          <w:tcPr/>
          <w:p>
            <w:pPr>
              <w:pStyle w:val="Compact"/>
              <w:jc w:val="left"/>
            </w:pPr>
            <w:r>
              <w:t xml:space="preserve">Policy white paper development: "Sustainable Urban Development in Turkey Istanbul – A Political Framework for 2025–2030." The politician authored a 45-page strategic document outlining governance recommendations, infrastructure priorities, and electoral platform alignment for the municipality.</w:t>
            </w:r>
          </w:p>
        </w:tc>
        <w:tc>
          <w:tcPr/>
          <w:p>
            <w:pPr>
              <w:pStyle w:val="Compact"/>
              <w:jc w:val="left"/>
            </w:pPr>
            <w:r>
              <w:t xml:space="preserve">10 Jun 2025</w:t>
            </w:r>
          </w:p>
        </w:tc>
        <w:tc>
          <w:tcPr/>
          <w:p>
            <w:pPr>
              <w:pStyle w:val="Compact"/>
              <w:jc w:val="left"/>
            </w:pPr>
            <w:r>
              <w:t xml:space="preserve">1 document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5</w:t>
            </w:r>
          </w:p>
        </w:tc>
        <w:tc>
          <w:tcPr/>
          <w:p>
            <w:pPr>
              <w:pStyle w:val="Compact"/>
              <w:jc w:val="left"/>
            </w:pPr>
            <w:r>
              <w:t xml:space="preserve">Stakeholder liaison and inter-party negotiation facilitation. The politician mediated discussions between municipal leadership and opposition representatives regarding the Istanbul public transport expansion budget, ensuring constructive dialogue within the political framework of Turkey Istanbul.</w:t>
            </w:r>
          </w:p>
        </w:tc>
        <w:tc>
          <w:tcPr/>
          <w:p>
            <w:pPr>
              <w:pStyle w:val="Compact"/>
              <w:jc w:val="left"/>
            </w:pPr>
            <w:r>
              <w:t xml:space="preserve">12 Jun 2025</w:t>
            </w:r>
          </w:p>
        </w:tc>
        <w:tc>
          <w:tcPr/>
          <w:p>
            <w:pPr>
              <w:pStyle w:val="Compact"/>
              <w:jc w:val="left"/>
            </w:pPr>
            <w:r>
              <w:t xml:space="preserve">4 hours</w:t>
            </w:r>
          </w:p>
        </w:tc>
        <w:tc>
          <w:tcPr/>
          <w:p>
            <w:pPr>
              <w:pStyle w:val="Compact"/>
              <w:jc w:val="left"/>
            </w:pPr>
            <w:r>
              <w:t xml:space="preserve">3,500.00</w:t>
            </w:r>
          </w:p>
        </w:tc>
        <w:tc>
          <w:tcPr/>
          <w:p>
            <w:pPr>
              <w:pStyle w:val="Compact"/>
              <w:jc w:val="left"/>
            </w:pPr>
            <w:r>
              <w:t xml:space="preserve">14,000.00</w:t>
            </w:r>
          </w:p>
        </w:tc>
      </w:tr>
      <w:tr>
        <w:tc>
          <w:tcPr/>
          <w:p>
            <w:pPr>
              <w:pStyle w:val="Compact"/>
              <w:jc w:val="left"/>
            </w:pPr>
            <w:r>
              <w:t xml:space="preserve">6</w:t>
            </w:r>
          </w:p>
        </w:tc>
        <w:tc>
          <w:tcPr/>
          <w:p>
            <w:pPr>
              <w:pStyle w:val="Compact"/>
              <w:jc w:val="left"/>
            </w:pPr>
            <w:r>
              <w:t xml:space="preserve">Community outreach program design and implementation oversight. The politician structured a neighborhood-level engagement initiative across 12 districts of Istanbul, providing political messaging frameworks and citizen feedback collection methodologies appropriate for the Turkey Istanbul context.</w:t>
            </w:r>
          </w:p>
        </w:tc>
        <w:tc>
          <w:tcPr/>
          <w:p>
            <w:pPr>
              <w:pStyle w:val="Compact"/>
              <w:jc w:val="left"/>
            </w:pPr>
            <w:r>
              <w:t xml:space="preserve">14 Jun 2025</w:t>
            </w:r>
          </w:p>
        </w:tc>
        <w:tc>
          <w:tcPr/>
          <w:p>
            <w:pPr>
              <w:pStyle w:val="Compact"/>
              <w:jc w:val="left"/>
            </w:pPr>
            <w:r>
              <w:t xml:space="preserve">10 hours</w:t>
            </w:r>
          </w:p>
        </w:tc>
        <w:tc>
          <w:tcPr/>
          <w:p>
            <w:pPr>
              <w:pStyle w:val="Compact"/>
              <w:jc w:val="left"/>
            </w:pPr>
            <w:r>
              <w:t xml:space="preserve">2,200.00</w:t>
            </w:r>
          </w:p>
        </w:tc>
        <w:tc>
          <w:tcPr/>
          <w:p>
            <w:pPr>
              <w:pStyle w:val="Compact"/>
              <w:jc w:val="left"/>
            </w:pPr>
            <w:r>
              <w:t xml:space="preserve">22,000.00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154,000.00 TRY</w:t>
            </w:r>
          </w:p>
        </w:tc>
      </w:tr>
      <w:tr>
        <w:tc>
          <w:tcPr/>
          <w:p>
            <w:pPr>
              <w:pStyle w:val="Compact"/>
              <w:jc w:val="left"/>
            </w:pPr>
            <w:r>
              <w:t xml:space="preserve">VAT (KDV) – 20%</w:t>
            </w:r>
          </w:p>
        </w:tc>
        <w:tc>
          <w:tcPr/>
          <w:p>
            <w:pPr>
              <w:pStyle w:val="Compact"/>
              <w:jc w:val="left"/>
            </w:pPr>
            <w:r>
              <w:t xml:space="preserve">30,800.00 TRY</w:t>
            </w:r>
          </w:p>
        </w:tc>
      </w:tr>
      <w:tr>
        <w:tc>
          <w:tcPr/>
          <w:p>
            <w:pPr>
              <w:pStyle w:val="Compact"/>
              <w:jc w:val="left"/>
            </w:pPr>
            <w:r>
              <w:t xml:space="preserve">Service Tax (Hizmet Vergisi) – 5%</w:t>
            </w:r>
          </w:p>
        </w:tc>
        <w:tc>
          <w:tcPr/>
          <w:p>
            <w:pPr>
              <w:pStyle w:val="Compact"/>
              <w:jc w:val="left"/>
            </w:pPr>
            <w:r>
              <w:t xml:space="preserve">7,700.00 TRY</w:t>
            </w:r>
          </w:p>
        </w:tc>
      </w:tr>
      <w:tr>
        <w:tc>
          <w:tcPr/>
          <w:p>
            <w:pPr>
              <w:pStyle w:val="Compact"/>
              <w:jc w:val="left"/>
            </w:pPr>
            <w:r>
              <w:rPr>
                <w:bCs/>
                <w:b/>
              </w:rPr>
              <w:t xml:space="preserve">Total Amount Due</w:t>
            </w:r>
          </w:p>
        </w:tc>
        <w:tc>
          <w:tcPr/>
          <w:p>
            <w:pPr>
              <w:pStyle w:val="Compact"/>
              <w:jc w:val="left"/>
            </w:pPr>
            <w:r>
              <w:rPr>
                <w:bCs/>
                <w:b/>
              </w:rPr>
              <w:t xml:space="preserve">192,500.00 TRY</w:t>
            </w:r>
          </w:p>
        </w:tc>
      </w:tr>
    </w:tbl>
    <w:bookmarkStart w:id="23" w:name="invoice-notes-payment-instructions"/>
    <w:p>
      <w:pPr>
        <w:pStyle w:val="Heading3"/>
      </w:pPr>
      <w:r>
        <w:t xml:space="preserve">Invoice Notes &amp; Payment Instructions</w:t>
      </w:r>
    </w:p>
    <w:p>
      <w:pPr>
        <w:pStyle w:val="FirstParagraph"/>
      </w:pPr>
      <w:r>
        <w:rPr>
          <w:bCs/>
          <w:b/>
        </w:rPr>
        <w:t xml:space="preserve">Bank:</w:t>
      </w:r>
      <w:r>
        <w:t xml:space="preserve"> </w:t>
      </w:r>
      <w:r>
        <w:t xml:space="preserve">Ziraat Bankası A.Ş. – Istanbul Central Branch</w:t>
      </w:r>
    </w:p>
    <w:p>
      <w:pPr>
        <w:pStyle w:val="BodyText"/>
      </w:pPr>
      <w:r>
        <w:rPr>
          <w:bCs/>
          <w:b/>
        </w:rPr>
        <w:t xml:space="preserve">Account Name:</w:t>
      </w:r>
      <w:r>
        <w:t xml:space="preserve"> </w:t>
      </w:r>
      <w:r>
        <w:t xml:space="preserve">Dr. Mehmet Kaya – Politician Advisory Services</w:t>
      </w:r>
    </w:p>
    <w:p>
      <w:pPr>
        <w:pStyle w:val="BodyText"/>
      </w:pPr>
      <w:r>
        <w:rPr>
          <w:bCs/>
          <w:b/>
        </w:rPr>
        <w:t xml:space="preserve">IBAN:</w:t>
      </w:r>
      <w:r>
        <w:t xml:space="preserve"> </w:t>
      </w:r>
      <w:r>
        <w:t xml:space="preserve">TR12 0001 0002 3456 7890 1234 56</w:t>
      </w:r>
    </w:p>
    <w:p>
      <w:pPr>
        <w:pStyle w:val="BodyText"/>
      </w:pPr>
      <w:r>
        <w:rPr>
          <w:bCs/>
          <w:b/>
        </w:rPr>
        <w:t xml:space="preserve">SWIFT/BIC:</w:t>
      </w:r>
      <w:r>
        <w:t xml:space="preserve"> </w:t>
      </w:r>
      <w:r>
        <w:t xml:space="preserve">TCZBTR2A</w:t>
      </w:r>
    </w:p>
    <w:p>
      <w:pPr>
        <w:pStyle w:val="BodyText"/>
      </w:pPr>
      <w:r>
        <w:rPr>
          <w:bCs/>
          <w:b/>
        </w:rPr>
        <w:t xml:space="preserve">Reference:</w:t>
      </w:r>
      <w:r>
        <w:t xml:space="preserve"> </w:t>
      </w:r>
      <w:r>
        <w:t xml:space="preserve">Please cite Invoice No. TR-IST-2025-04871 in all payment communications.</w:t>
      </w:r>
    </w:p>
    <w:p>
      <w:pPr>
        <w:pStyle w:val="BodyText"/>
      </w:pPr>
      <w:r>
        <w:rPr>
          <w:bCs/>
          <w:b/>
        </w:rPr>
        <w:t xml:space="preserve">Important:</w:t>
      </w:r>
      <w:r>
        <w:t xml:space="preserve"> </w:t>
      </w:r>
      <w:r>
        <w:t xml:space="preserve">This invoice is issued in accordance with the Turkish Commercial Code (Türk Ticaret Kanunu) and the relevant regulations of the Republic of Turkey's Ministry of Finance. All services were rendered within the jurisdiction of Turkey Istanbul. The politician's professional registration and political activity disclosures are on file with the Istanbul Bar Association and the relevant electoral authority.</w:t>
      </w:r>
    </w:p>
    <w:bookmarkEnd w:id="23"/>
    <w:bookmarkStart w:id="24" w:name="terms-conditions"/>
    <w:p>
      <w:pPr>
        <w:pStyle w:val="Heading3"/>
      </w:pPr>
      <w:r>
        <w:t xml:space="preserve">Terms &amp; Conditions</w:t>
      </w:r>
    </w:p>
    <w:p>
      <w:pPr>
        <w:pStyle w:val="FirstParagraph"/>
      </w:pPr>
      <w:r>
        <w:t xml:space="preserve">1. This Invoice constitutes a formal request for payment for professional political advisory, public speaking, and strategic consulting services rendered by the undersigned politician to the client entity within the city of Turkey Istanbul. All services were performed in compliance with Turkish law, including but not limited to the Political Parties Law (Partiler Kanunu No. 2820) and the Election Law (Seçim Kanunu No. 298).</w:t>
      </w:r>
    </w:p>
    <w:p>
      <w:pPr>
        <w:pStyle w:val="BodyText"/>
      </w:pPr>
      <w:r>
        <w:t xml:space="preserve">2. Payment is due within fifteen (15) calendar days from the issue date of this Invoice. Late payments shall accrue interest at the rate prescribed by the Turkish Commercial Code, calculated on a daily basis from the due date until full settlement is received.</w:t>
      </w:r>
    </w:p>
    <w:p>
      <w:pPr>
        <w:pStyle w:val="BodyText"/>
      </w:pPr>
      <w:r>
        <w:t xml:space="preserve">3. The politician reserves the right to publish anonymized case studies derived from the advisory work described in this Invoice, provided that no confidential municipal data or proprietary strategic information is disclosed. All intellectual property in the policy white paper (Item 4) shall transfer to the client upon full payment of this Invoice.</w:t>
      </w:r>
    </w:p>
    <w:p>
      <w:pPr>
        <w:pStyle w:val="BodyText"/>
      </w:pPr>
      <w:r>
        <w:t xml:space="preserve">4. Any disputes arising from this Invoice or the services it describes shall be subject to the exclusive jurisdiction of the courts and arbitration centers located in Istanbul, Turkey. The governing law shall be the laws of the Republic of Turkey.</w:t>
      </w:r>
    </w:p>
    <w:p>
      <w:pPr>
        <w:pStyle w:val="BodyText"/>
      </w:pPr>
      <w:r>
        <w:t xml:space="preserve">5. This Invoice is valid for a period of ninety (90) days from the issue date. After this period, the client must request a reissued Invoice reflecting any applicable tax rate changes or currency adjustments mandated by the Turkish Ministry of Finance.</w:t>
      </w:r>
    </w:p>
    <w:p>
      <w:pPr>
        <w:pStyle w:val="BodyText"/>
      </w:pPr>
      <w:r>
        <w:t xml:space="preserve">6. The politician confirms that all political activity disclosures required under Turkish law have been filed, and that the services rendered under this Invoice do not constitute campaign financing or electoral contribution as defined by the Supreme Election Council (YSK) regulations.</w:t>
      </w:r>
    </w:p>
    <w:bookmarkEnd w:id="24"/>
    <w:p>
      <w:pPr>
        <w:pStyle w:val="BodyText"/>
      </w:pPr>
      <w:r>
        <w:t xml:space="preserve">Authorized Signature &amp; Seal</w:t>
      </w:r>
    </w:p>
    <w:p>
      <w:pPr>
        <w:pStyle w:val="BodyText"/>
      </w:pPr>
      <w:r>
        <w:t xml:space="preserve">DR. M. KAYA</w:t>
      </w:r>
      <w:r>
        <w:br/>
      </w:r>
      <w:r>
        <w:t xml:space="preserve">Politician</w:t>
      </w:r>
      <w:r>
        <w:br/>
      </w:r>
      <w:r>
        <w:t xml:space="preserve">Istanbul TR</w:t>
      </w:r>
    </w:p>
    <w:p>
      <w:pPr>
        <w:pStyle w:val="BodyText"/>
      </w:pPr>
      <w:r>
        <w:t xml:space="preserve">This Invoice was generated electronically and is valid without a physical signature in accordance with Turkish e-invoicing regulations (e-Fatura / e-Arşiv Fatura). For verification, contact the issuing office in Turkey Istanbul. Document ID: TR-IST-2025-04871 | Generated: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Politician Advisory Services - Turkey Istanbul</dc:title>
  <dc:creator/>
  <dc:language>en</dc:language>
  <cp:keywords/>
  <dcterms:created xsi:type="dcterms:W3CDTF">2026-10-10T03:47:01Z</dcterms:created>
  <dcterms:modified xsi:type="dcterms:W3CDTF">2026-10-10T03:47:01Z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