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Political Consulting &amp; Advisory Services</w:t>
      </w:r>
    </w:p>
    <w:p>
      <w:pPr>
        <w:pStyle w:val="BodyText"/>
      </w:pPr>
      <w:r>
        <w:t xml:space="preserve">Official Document</w:t>
      </w:r>
    </w:p>
    <w:p>
      <w:pPr>
        <w:pStyle w:val="BodyText"/>
      </w:pPr>
      <w:r>
        <w:t xml:space="preserve">Houston, Texas — United States</w:t>
      </w:r>
    </w:p>
    <w:bookmarkEnd w:id="20"/>
    <w:bookmarkStart w:id="21" w:name="issued-by-service-provider"/>
    <w:p>
      <w:pPr>
        <w:pStyle w:val="Heading3"/>
      </w:pPr>
      <w:r>
        <w:t xml:space="preserve">Issued By (Service Provider)</w:t>
      </w:r>
    </w:p>
    <w:p>
      <w:pPr>
        <w:pStyle w:val="FirstParagraph"/>
      </w:pPr>
      <w:r>
        <w:rPr>
          <w:bCs/>
          <w:b/>
        </w:rPr>
        <w:t xml:space="preserve">Senator Marcus R. Caldwell</w:t>
      </w:r>
    </w:p>
    <w:p>
      <w:pPr>
        <w:pStyle w:val="BodyText"/>
      </w:pPr>
      <w:r>
        <w:t xml:space="preserve">Office of the Politician — State of Texas</w:t>
      </w:r>
    </w:p>
    <w:p>
      <w:pPr>
        <w:pStyle w:val="BodyText"/>
      </w:pPr>
      <w:r>
        <w:t xml:space="preserve">1200 Congress Avenue, Suite 450</w:t>
      </w:r>
    </w:p>
    <w:p>
      <w:pPr>
        <w:pStyle w:val="BodyText"/>
      </w:pPr>
      <w:r>
        <w:t xml:space="preserve">Houston, TX 77002, United States</w:t>
      </w:r>
    </w:p>
    <w:p>
      <w:pPr>
        <w:pStyle w:val="BodyText"/>
      </w:pPr>
      <w:r>
        <w:t xml:space="preserve">Tel: (713) 555-0147</w:t>
      </w:r>
    </w:p>
    <w:p>
      <w:pPr>
        <w:pStyle w:val="BodyText"/>
      </w:pPr>
      <w:r>
        <w:t xml:space="preserve">Email: m.caldwell@txsenate.gov</w:t>
      </w:r>
    </w:p>
    <w:p>
      <w:pPr>
        <w:pStyle w:val="BodyText"/>
      </w:pPr>
      <w:r>
        <w:t xml:space="preserve">TIN: 84-2937461</w:t>
      </w:r>
    </w:p>
    <w:bookmarkEnd w:id="21"/>
    <w:bookmarkStart w:id="22" w:name="billed-to-client"/>
    <w:p>
      <w:pPr>
        <w:pStyle w:val="Heading3"/>
      </w:pPr>
      <w:r>
        <w:t xml:space="preserve">Billed To (Client)</w:t>
      </w:r>
    </w:p>
    <w:p>
      <w:pPr>
        <w:pStyle w:val="FirstParagraph"/>
      </w:pPr>
      <w:r>
        <w:rPr>
          <w:bCs/>
          <w:b/>
        </w:rPr>
        <w:t xml:space="preserve">Houston Metropolitan Chamber of Commerce</w:t>
      </w:r>
    </w:p>
    <w:p>
      <w:pPr>
        <w:pStyle w:val="BodyText"/>
      </w:pPr>
      <w:r>
        <w:t xml:space="preserve">Attn: Director of Government Relations</w:t>
      </w:r>
    </w:p>
    <w:p>
      <w:pPr>
        <w:pStyle w:val="BodyText"/>
      </w:pPr>
      <w:r>
        <w:t xml:space="preserve">2200 Smith Street, Floor 12</w:t>
      </w:r>
    </w:p>
    <w:p>
      <w:pPr>
        <w:pStyle w:val="BodyText"/>
      </w:pPr>
      <w:r>
        <w:t xml:space="preserve">Houston, TX 77002, United States</w:t>
      </w:r>
    </w:p>
    <w:p>
      <w:pPr>
        <w:pStyle w:val="BodyText"/>
      </w:pPr>
      <w:r>
        <w:t xml:space="preserve">Tel: (713) 555-0892</w:t>
      </w:r>
    </w:p>
    <w:p>
      <w:pPr>
        <w:pStyle w:val="BodyText"/>
      </w:pPr>
      <w:r>
        <w:t xml:space="preserve">Email: gov-relations@houstonchamber.org</w:t>
      </w:r>
    </w:p>
    <w:p>
      <w:pPr>
        <w:pStyle w:val="BodyText"/>
      </w:pPr>
      <w:r>
        <w:t xml:space="preserve">Client Reference: HMC-2025-0447</w:t>
      </w:r>
    </w:p>
    <w:bookmarkEnd w:id="22"/>
    <w:p>
      <w:pPr>
        <w:pStyle w:val="BodyText"/>
      </w:pPr>
      <w:r>
        <w:rPr>
          <w:bCs/>
          <w:b/>
        </w:rPr>
        <w:t xml:space="preserve">Invoice Number:</w:t>
      </w:r>
      <w:r>
        <w:t xml:space="preserve"> </w:t>
      </w:r>
      <w:r>
        <w:t xml:space="preserve">INV-2025-HOU-0892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March 1, 2025 – May 31, 2025</w:t>
      </w:r>
    </w:p>
    <w:p>
      <w:pPr>
        <w:pStyle w:val="BodyText"/>
      </w:pPr>
      <w:r>
        <w:rPr>
          <w:bCs/>
          <w:b/>
        </w:rPr>
        <w:t xml:space="preserve">Project:</w:t>
      </w:r>
      <w:r>
        <w:t xml:space="preserve"> </w:t>
      </w:r>
      <w:r>
        <w:t xml:space="preserve">Houston Infrastructure &amp; Economic Development Policy Advisory</w:t>
      </w:r>
    </w:p>
    <w:p>
      <w:pPr>
        <w:pStyle w:val="BodyText"/>
      </w:pPr>
      <w:r>
        <w:rPr>
          <w:bCs/>
          <w:b/>
        </w:rPr>
        <w:t xml:space="preserve">Contract Reference:</w:t>
      </w:r>
      <w:r>
        <w:t xml:space="preserve"> </w:t>
      </w:r>
      <w:r>
        <w:t xml:space="preserve">CTR-2025-HOU-0219</w:t>
      </w:r>
    </w:p>
    <w:p>
      <w:pPr>
        <w:pStyle w:val="BodyText"/>
      </w:pPr>
      <w:r>
        <w:rPr>
          <w:bCs/>
          <w:b/>
        </w:rPr>
        <w:t xml:space="preserve">Currency:</w:t>
      </w:r>
      <w:r>
        <w:t xml:space="preserve"> </w:t>
      </w:r>
      <w:r>
        <w:t xml:space="preserve">United States Dollar (USD)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Policy advisory consultation regarding Houston metropolitan infrastructure development, including port logistics and highway expansion planning. The Politician provided expert legislative guidance to the Chamber of Commerce delegation.</w:t>
            </w:r>
          </w:p>
        </w:tc>
        <w:tc>
          <w:tcPr/>
          <w:p>
            <w:pPr>
              <w:pStyle w:val="Compact"/>
              <w:jc w:val="left"/>
            </w:pPr>
            <w:r>
              <w:t xml:space="preserve">March 5, 2025</w:t>
            </w:r>
          </w:p>
        </w:tc>
        <w:tc>
          <w:tcPr/>
          <w:p>
            <w:pPr>
              <w:pStyle w:val="Compact"/>
              <w:jc w:val="left"/>
            </w:pPr>
            <w:r>
              <w:t xml:space="preserve">8 hours</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2</w:t>
            </w:r>
          </w:p>
        </w:tc>
        <w:tc>
          <w:tcPr/>
          <w:p>
            <w:pPr>
              <w:pStyle w:val="Compact"/>
              <w:jc w:val="left"/>
            </w:pPr>
            <w:r>
              <w:t xml:space="preserve">Preparation and review of legislative briefing documents for the Houston Economic Development Committee. The Politician authored a comprehensive 45-page policy white paper addressing tax incentive structures for small businesses in the Houston, United States region.</w:t>
            </w:r>
          </w:p>
        </w:tc>
        <w:tc>
          <w:tcPr/>
          <w:p>
            <w:pPr>
              <w:pStyle w:val="Compact"/>
              <w:jc w:val="left"/>
            </w:pPr>
            <w:r>
              <w:t xml:space="preserve">March 18, 2025</w:t>
            </w:r>
          </w:p>
        </w:tc>
        <w:tc>
          <w:tcPr/>
          <w:p>
            <w:pPr>
              <w:pStyle w:val="Compact"/>
              <w:jc w:val="left"/>
            </w:pPr>
            <w:r>
              <w:t xml:space="preserve">24 hours</w:t>
            </w:r>
          </w:p>
        </w:tc>
        <w:tc>
          <w:tcPr/>
          <w:p>
            <w:pPr>
              <w:pStyle w:val="Compact"/>
              <w:jc w:val="left"/>
            </w:pPr>
            <w:r>
              <w:t xml:space="preserve">$275.00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Representation at the Houston City Council public hearing on the proposed $2.3 billion transit expansion project. The Politician delivered a 20-minute address and participated in a 90-minute Q&amp;A session with council members and constituents.</w:t>
            </w:r>
          </w:p>
        </w:tc>
        <w:tc>
          <w:tcPr/>
          <w:p>
            <w:pPr>
              <w:pStyle w:val="Compact"/>
              <w:jc w:val="left"/>
            </w:pPr>
            <w:r>
              <w:t xml:space="preserve">April 2, 2025</w:t>
            </w:r>
          </w:p>
        </w:tc>
        <w:tc>
          <w:tcPr/>
          <w:p>
            <w:pPr>
              <w:pStyle w:val="Compact"/>
              <w:jc w:val="left"/>
            </w:pPr>
            <w:r>
              <w:t xml:space="preserve">6 hours</w:t>
            </w:r>
          </w:p>
        </w:tc>
        <w:tc>
          <w:tcPr/>
          <w:p>
            <w:pPr>
              <w:pStyle w:val="Compact"/>
              <w:jc w:val="left"/>
            </w:pPr>
            <w:r>
              <w:t xml:space="preserve">$325.00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Stakeholder coordination meeting with federal representatives in Washington, D.C., to secure additional United States Department of Transportation funding for Houston-area projects. The Politician facilitated negotiations and drafted a joint resolution proposal.</w:t>
            </w:r>
          </w:p>
        </w:tc>
        <w:tc>
          <w:tcPr/>
          <w:p>
            <w:pPr>
              <w:pStyle w:val="Compact"/>
              <w:jc w:val="left"/>
            </w:pPr>
            <w:r>
              <w:t xml:space="preserve">April 14, 2025</w:t>
            </w:r>
          </w:p>
        </w:tc>
        <w:tc>
          <w:tcPr/>
          <w:p>
            <w:pPr>
              <w:pStyle w:val="Compact"/>
              <w:jc w:val="left"/>
            </w:pPr>
            <w:r>
              <w:t xml:space="preserve">16 hours</w:t>
            </w:r>
          </w:p>
        </w:tc>
        <w:tc>
          <w:tcPr/>
          <w:p>
            <w:pPr>
              <w:pStyle w:val="Compact"/>
              <w:jc w:val="left"/>
            </w:pPr>
            <w:r>
              <w:t xml:space="preserve">$325.00</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Community outreach and constituent engagement event hosted in the Houston Heights neighborhood. The Politician conducted a town hall addressing local concerns regarding flood mitigation, public safety funding, and educational infrastructure in the Houston, United States area.</w:t>
            </w:r>
          </w:p>
        </w:tc>
        <w:tc>
          <w:tcPr/>
          <w:p>
            <w:pPr>
              <w:pStyle w:val="Compact"/>
              <w:jc w:val="left"/>
            </w:pPr>
            <w:r>
              <w:t xml:space="preserve">April 28, 2025</w:t>
            </w:r>
          </w:p>
        </w:tc>
        <w:tc>
          <w:tcPr/>
          <w:p>
            <w:pPr>
              <w:pStyle w:val="Compact"/>
              <w:jc w:val="left"/>
            </w:pPr>
            <w:r>
              <w:t xml:space="preserve">5 hours</w:t>
            </w:r>
          </w:p>
        </w:tc>
        <w:tc>
          <w:tcPr/>
          <w:p>
            <w:pPr>
              <w:pStyle w:val="Compact"/>
              <w:jc w:val="left"/>
            </w:pPr>
            <w:r>
              <w:t xml:space="preserve">$275.00</w:t>
            </w:r>
          </w:p>
        </w:tc>
        <w:tc>
          <w:tcPr/>
          <w:p>
            <w:pPr>
              <w:pStyle w:val="Compact"/>
              <w:jc w:val="left"/>
            </w:pPr>
            <w:r>
              <w:t xml:space="preserve">$1,375.00</w:t>
            </w:r>
          </w:p>
        </w:tc>
      </w:tr>
      <w:tr>
        <w:tc>
          <w:tcPr/>
          <w:p>
            <w:pPr>
              <w:pStyle w:val="Compact"/>
              <w:jc w:val="left"/>
            </w:pPr>
            <w:r>
              <w:t xml:space="preserve">6</w:t>
            </w:r>
          </w:p>
        </w:tc>
        <w:tc>
          <w:tcPr/>
          <w:p>
            <w:pPr>
              <w:pStyle w:val="Compact"/>
              <w:jc w:val="left"/>
            </w:pPr>
            <w:r>
              <w:t xml:space="preserve">Drafting and submission of a formal legislative proposal to the Texas State Senate regarding renewable energy integration for Houston industrial zones. The Politician coordinated with environmental agencies and industry leaders to finalize the bill language.</w:t>
            </w:r>
          </w:p>
        </w:tc>
        <w:tc>
          <w:tcPr/>
          <w:p>
            <w:pPr>
              <w:pStyle w:val="Compact"/>
              <w:jc w:val="left"/>
            </w:pPr>
            <w:r>
              <w:t xml:space="preserve">May 12, 2025</w:t>
            </w:r>
          </w:p>
        </w:tc>
        <w:tc>
          <w:tcPr/>
          <w:p>
            <w:pPr>
              <w:pStyle w:val="Compact"/>
              <w:jc w:val="left"/>
            </w:pPr>
            <w:r>
              <w:t xml:space="preserve">20 hours</w:t>
            </w:r>
          </w:p>
        </w:tc>
        <w:tc>
          <w:tcPr/>
          <w:p>
            <w:pPr>
              <w:pStyle w:val="Compact"/>
              <w:jc w:val="left"/>
            </w:pPr>
            <w:r>
              <w:t xml:space="preserve">$275.00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Final quarterly performance review and strategic planning session with the Houston Metropolitan Chamber of Commerce executive board. The Politician presented a roadmap for the upcoming legislative session and identified priority policy areas for the Houston, United States metropolitan corridor.</w:t>
            </w:r>
          </w:p>
        </w:tc>
        <w:tc>
          <w:tcPr/>
          <w:p>
            <w:pPr>
              <w:pStyle w:val="Compact"/>
              <w:jc w:val="left"/>
            </w:pPr>
            <w:r>
              <w:t xml:space="preserve">May 30, 2025</w:t>
            </w:r>
          </w:p>
        </w:tc>
        <w:tc>
          <w:tcPr/>
          <w:p>
            <w:pPr>
              <w:pStyle w:val="Compact"/>
              <w:jc w:val="left"/>
            </w:pPr>
            <w:r>
              <w:t xml:space="preserve">4 hours</w:t>
            </w:r>
          </w:p>
        </w:tc>
        <w:tc>
          <w:tcPr/>
          <w:p>
            <w:pPr>
              <w:pStyle w:val="Compact"/>
              <w:jc w:val="left"/>
            </w:pPr>
            <w:r>
              <w:t xml:space="preserve">$350.00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$24,225.00</w:t>
            </w:r>
          </w:p>
        </w:tc>
      </w:tr>
      <w:tr>
        <w:tc>
          <w:tcPr/>
          <w:p>
            <w:pPr>
              <w:pStyle w:val="Compact"/>
              <w:jc w:val="left"/>
            </w:pPr>
            <w:r>
              <w:t xml:space="preserve">Applicable Tax (6.25% — Harris County, TX)</w:t>
            </w:r>
          </w:p>
        </w:tc>
        <w:tc>
          <w:tcPr/>
          <w:p>
            <w:pPr>
              <w:pStyle w:val="Compact"/>
              <w:jc w:val="right"/>
            </w:pPr>
            <w:r>
              <w:t xml:space="preserve">$1,514.06</w:t>
            </w:r>
          </w:p>
        </w:tc>
      </w:tr>
      <w:tr>
        <w:tc>
          <w:tcPr/>
          <w:p>
            <w:pPr>
              <w:pStyle w:val="Compact"/>
              <w:jc w:val="left"/>
            </w:pPr>
            <w:r>
              <w:t xml:space="preserve">Travel &amp; Lodging Reimbursement</w:t>
            </w:r>
          </w:p>
        </w:tc>
        <w:tc>
          <w:tcPr/>
          <w:p>
            <w:pPr>
              <w:pStyle w:val="Compact"/>
              <w:jc w:val="right"/>
            </w:pPr>
            <w:r>
              <w:t xml:space="preserve">$1,847.30</w:t>
            </w:r>
          </w:p>
        </w:tc>
      </w:tr>
      <w:tr>
        <w:tc>
          <w:tcPr/>
          <w:p>
            <w:pPr>
              <w:pStyle w:val="Compact"/>
              <w:jc w:val="left"/>
            </w:pPr>
            <w:r>
              <w:t xml:space="preserve">Grand Total Due</w:t>
            </w:r>
          </w:p>
        </w:tc>
        <w:tc>
          <w:tcPr/>
          <w:p>
            <w:pPr>
              <w:pStyle w:val="Compact"/>
              <w:jc w:val="right"/>
            </w:pPr>
            <w:r>
              <w:t xml:space="preserve">$27,586.36</w:t>
            </w:r>
          </w:p>
        </w:tc>
      </w:tr>
    </w:tbl>
    <w:bookmarkStart w:id="23" w:name="notes-payment-instructions"/>
    <w:p>
      <w:pPr>
        <w:pStyle w:val="Heading3"/>
      </w:pPr>
      <w:r>
        <w:t xml:space="preserve">Notes &amp; Payment Instructions</w:t>
      </w:r>
    </w:p>
    <w:p>
      <w:pPr>
        <w:pStyle w:val="FirstParagraph"/>
      </w:pPr>
      <w:r>
        <w:t xml:space="preserve">This Invoice is issued in accordance with the professional services agreement (Contract Reference CTR-2025-HOU-0219) between Senator Marcus R. Caldwell, acting in his capacity as a Politician representing the Houston district, and the Houston Metropolitan Chamber of Commerce. All services were rendered within the Houston, United States metropolitan area unless otherwise noted.</w:t>
      </w:r>
    </w:p>
    <w:p>
      <w:pPr>
        <w:pStyle w:val="BodyText"/>
      </w:pPr>
      <w:r>
        <w:t xml:space="preserve">Payment of $27,586.36 USD is due no later than July 15, 2025. Please remit payment via wire transfer to the account designated below, or by check payable to "Office of Senator M.R. Caldwell — Professional Services." Include Invoice Number INV-2025-HOU-0892 on all correspondence.</w:t>
      </w:r>
    </w:p>
    <w:p>
      <w:pPr>
        <w:pStyle w:val="BodyText"/>
      </w:pPr>
      <w:r>
        <w:rPr>
          <w:bCs/>
          <w:b/>
        </w:rPr>
        <w:t xml:space="preserve">Wire Transfer Details:</w:t>
      </w:r>
      <w:r>
        <w:t xml:space="preserve"> </w:t>
      </w:r>
      <w:r>
        <w:t xml:space="preserve">Bank: First National Bank of Houston — United States | Routing: 071000013 | Account: 4482-9173-0056 | SWIFT: FNHUS33</w:t>
      </w:r>
    </w:p>
    <w:p>
      <w:pPr>
        <w:pStyle w:val="BodyText"/>
      </w:pPr>
      <w:r>
        <w:t xml:space="preserve">A late payment fee of 1.5% per month will be applied to any balance outstanding beyond the due date. This Invoice is valid for 90 days from the date of issue. For questions or disputes regarding this Invoice, please contact the billing office at (713) 555-0147 or billing@txsenate.gov within 15 business days of receipt.</w:t>
      </w:r>
    </w:p>
    <w:p>
      <w:pPr>
        <w:pStyle w:val="BodyText"/>
      </w:pPr>
      <w:r>
        <w:t xml:space="preserve">This document constitutes a formal Invoice for professional political advisory services and is subject to the terms and conditions outlined in the master service agreement. All rates are in United States Dollars (USD). The Politician reserves the right to adjust rates for subsequent billing periods with 30 days written notice.</w:t>
      </w:r>
    </w:p>
    <w:bookmarkEnd w:id="23"/>
    <w:p>
      <w:pPr>
        <w:pStyle w:val="BodyText"/>
      </w:pPr>
      <w:r>
        <w:rPr>
          <w:bCs/>
          <w:b/>
        </w:rPr>
        <w:t xml:space="preserve">Office of Senator Marcus R. Caldwell</w:t>
      </w:r>
      <w:r>
        <w:t xml:space="preserve"> </w:t>
      </w:r>
      <w:r>
        <w:t xml:space="preserve">— Politician, Texas State Senate, District 14</w:t>
      </w:r>
    </w:p>
    <w:p>
      <w:pPr>
        <w:pStyle w:val="BodyText"/>
      </w:pPr>
      <w:r>
        <w:t xml:space="preserve">1200 Congress Avenue, Suite 450, Houston, TX 77002, United States</w:t>
      </w:r>
    </w:p>
    <w:p>
      <w:pPr>
        <w:pStyle w:val="BodyText"/>
      </w:pPr>
      <w:r>
        <w:t xml:space="preserve">This Invoice was generated electronically and is valid without a physical signature. Document ID: INV-2025-HOU-0892 | Generated: June 15, 2025</w:t>
      </w:r>
    </w:p>
    <w:p>
      <w:pPr>
        <w:pStyle w:val="BodyText"/>
      </w:pPr>
      <w:r>
        <w:t xml:space="preserve">© 2025 Office of Senator Caldwell. All rights reserved.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Services - Houston, United States</dc:title>
  <dc:creator/>
  <dc:language>en</dc:language>
  <cp:keywords/>
  <dcterms:created xsi:type="dcterms:W3CDTF">2026-10-10T07:04:25Z</dcterms:created>
  <dcterms:modified xsi:type="dcterms:W3CDTF">2026-10-10T07:04:25Z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