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Political Advisory &amp; Public Policy Consulting Services</w:t>
      </w:r>
    </w:p>
    <w:p>
      <w:pPr>
        <w:pStyle w:val="BodyText"/>
      </w:pPr>
      <w:r>
        <w:t xml:space="preserve">UNITED STATES MIAMI — OFFICIAL DOCUMENT</w:t>
      </w:r>
    </w:p>
    <w:bookmarkEnd w:id="20"/>
    <w:bookmarkStart w:id="21" w:name="issued-by-politician"/>
    <w:p>
      <w:pPr>
        <w:pStyle w:val="Heading3"/>
      </w:pPr>
      <w:r>
        <w:t xml:space="preserve">Issued By (Politician)</w:t>
      </w:r>
    </w:p>
    <w:p>
      <w:pPr>
        <w:pStyle w:val="FirstParagraph"/>
      </w:pPr>
      <w:r>
        <w:rPr>
          <w:bCs/>
          <w:b/>
        </w:rPr>
        <w:t xml:space="preserve">Hon. Marcus A. Delgado</w:t>
      </w:r>
    </w:p>
    <w:p>
      <w:pPr>
        <w:pStyle w:val="BodyText"/>
      </w:pPr>
      <w:r>
        <w:t xml:space="preserve">Florida State Representative, District 101</w:t>
      </w:r>
    </w:p>
    <w:p>
      <w:pPr>
        <w:pStyle w:val="BodyText"/>
      </w:pPr>
      <w:r>
        <w:t xml:space="preserve">Office of the Politician</w:t>
      </w:r>
    </w:p>
    <w:p>
      <w:pPr>
        <w:pStyle w:val="BodyText"/>
      </w:pPr>
      <w:r>
        <w:t xml:space="preserve">1200 Brickell Avenue, Suite 2400</w:t>
      </w:r>
    </w:p>
    <w:p>
      <w:pPr>
        <w:pStyle w:val="BodyText"/>
      </w:pPr>
      <w:r>
        <w:t xml:space="preserve">Miami, Florida 33131</w:t>
      </w:r>
    </w:p>
    <w:p>
      <w:pPr>
        <w:pStyle w:val="BodyText"/>
      </w:pPr>
      <w:r>
        <w:t xml:space="preserve">United States</w:t>
      </w:r>
    </w:p>
    <w:p>
      <w:pPr>
        <w:pStyle w:val="BodyText"/>
      </w:pPr>
      <w:r>
        <w:t xml:space="preserve">Tel: (305) 555-0147</w:t>
      </w:r>
    </w:p>
    <w:p>
      <w:pPr>
        <w:pStyle w:val="BodyText"/>
      </w:pPr>
      <w:r>
        <w:t xml:space="preserve">Email: office@repdelgado-fl.gov</w:t>
      </w:r>
    </w:p>
    <w:p>
      <w:pPr>
        <w:pStyle w:val="BodyText"/>
      </w:pPr>
      <w:r>
        <w:t xml:space="preserve">FL Business License: #FL-2024-88341</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INV-2025-MIA-00472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Service Period:</w:t>
      </w:r>
      <w:r>
        <w:t xml:space="preserve"> </w:t>
      </w:r>
      <w:r>
        <w:t xml:space="preserve">March 1, 2025 – May 31, 2025</w:t>
      </w:r>
    </w:p>
    <w:bookmarkEnd w:id="22"/>
    <w:bookmarkStart w:id="23" w:name="billed-to"/>
    <w:p>
      <w:pPr>
        <w:pStyle w:val="Heading3"/>
      </w:pPr>
      <w:r>
        <w:t xml:space="preserve">Billed To</w:t>
      </w:r>
    </w:p>
    <w:p>
      <w:pPr>
        <w:pStyle w:val="FirstParagraph"/>
      </w:pPr>
      <w:r>
        <w:rPr>
          <w:bCs/>
          <w:b/>
        </w:rPr>
        <w:t xml:space="preserve">Atlantic Coastal Development Group, LLC</w:t>
      </w:r>
    </w:p>
    <w:p>
      <w:pPr>
        <w:pStyle w:val="BodyText"/>
      </w:pPr>
      <w:r>
        <w:t xml:space="preserve">Attn: Ms. Patricia R. Whitmore, Chief Executive Officer</w:t>
      </w:r>
    </w:p>
    <w:p>
      <w:pPr>
        <w:pStyle w:val="BodyText"/>
      </w:pPr>
      <w:r>
        <w:t xml:space="preserve">2800 Biscayne Boulevard, Floor 18</w:t>
      </w:r>
    </w:p>
    <w:p>
      <w:pPr>
        <w:pStyle w:val="BodyText"/>
      </w:pPr>
      <w:r>
        <w:t xml:space="preserve">Miami, Florida 33137</w:t>
      </w:r>
    </w:p>
    <w:p>
      <w:pPr>
        <w:pStyle w:val="BodyText"/>
      </w:pPr>
      <w:r>
        <w:t xml:space="preserve">United States</w:t>
      </w:r>
    </w:p>
    <w:p>
      <w:pPr>
        <w:pStyle w:val="BodyText"/>
      </w:pPr>
      <w:r>
        <w:t xml:space="preserve">Tax ID (EIN): 82-4471903</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ACDG-2025-0091</w:t>
      </w:r>
    </w:p>
    <w:p>
      <w:pPr>
        <w:pStyle w:val="BodyText"/>
      </w:pPr>
      <w:r>
        <w:rPr>
          <w:bCs/>
          <w:b/>
        </w:rPr>
        <w:t xml:space="preserve">Engagement Type:</w:t>
      </w:r>
      <w:r>
        <w:t xml:space="preserve"> </w:t>
      </w:r>
      <w:r>
        <w:t xml:space="preserve">Public Policy Advisory</w:t>
      </w:r>
    </w:p>
    <w:p>
      <w:pPr>
        <w:pStyle w:val="BodyText"/>
      </w:pPr>
      <w:r>
        <w:rPr>
          <w:bCs/>
          <w:b/>
        </w:rPr>
        <w:t xml:space="preserve">Scope:</w:t>
      </w:r>
      <w:r>
        <w:t xml:space="preserve"> </w:t>
      </w:r>
      <w:r>
        <w:t xml:space="preserve">Municipal Zoning &amp; Infrastructure</w:t>
      </w:r>
    </w:p>
    <w:p>
      <w:pPr>
        <w:pStyle w:val="BodyText"/>
      </w:pPr>
      <w:r>
        <w:rPr>
          <w:bCs/>
          <w:b/>
        </w:rPr>
        <w:t xml:space="preserve">Location of Services:</w:t>
      </w:r>
      <w:r>
        <w:t xml:space="preserve"> </w:t>
      </w:r>
      <w:r>
        <w:t xml:space="preserve">United States Miami</w:t>
      </w:r>
    </w:p>
    <w:bookmarkEnd w:id="24"/>
    <w:bookmarkStart w:id="26" w:name="Xff2c009545616b5944a9628616b3ce261138f30"/>
    <w:p>
      <w:pPr>
        <w:pStyle w:val="Heading2"/>
      </w:pPr>
      <w:r>
        <w:t xml:space="preserve">Line Items — Services Rendered by the Politician</w:t>
      </w:r>
    </w:p>
    <w:p>
      <w:pPr>
        <w:pStyle w:val="FirstParagraph"/>
      </w:pPr>
      <w:r>
        <w:t xml:space="preserve">The following Invoice itemizes all professional services provided by the Politician, Hon. Marcus A. Delgado, in his capacity as a licensed public policy consultant operating within the jurisdiction of United States Miami and the State of Florida.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policy briefing session regarding proposed municipal zoning amendments for the Brickell waterfront district, conducted at the Politician's office in United States Miami.</w:t>
            </w:r>
          </w:p>
        </w:tc>
        <w:tc>
          <w:tcPr/>
          <w:p>
            <w:pPr>
              <w:pStyle w:val="Compact"/>
              <w:jc w:val="left"/>
            </w:pPr>
            <w:r>
              <w:t xml:space="preserve">Mar 04,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Preparation and delivery of a comprehensive written analysis on Florida State Senate Bill 2025-1147 (Coastal Infrastructure Resilience Act) and its implications for Atlantic Coastal Development Group's Miami portfolio.</w:t>
            </w:r>
          </w:p>
        </w:tc>
        <w:tc>
          <w:tcPr/>
          <w:p>
            <w:pPr>
              <w:pStyle w:val="Compact"/>
              <w:jc w:val="left"/>
            </w:pPr>
            <w:r>
              <w:t xml:space="preserve">Mar 18,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Representation of the client at the Miami-Dade County Commission public hearing on mixed-use development permits, District 101 sub-districts. The Politician provided expert testimony on regulatory compliance.</w:t>
            </w:r>
          </w:p>
        </w:tc>
        <w:tc>
          <w:tcPr/>
          <w:p>
            <w:pPr>
              <w:pStyle w:val="Compact"/>
              <w:jc w:val="left"/>
            </w:pPr>
            <w:r>
              <w:t xml:space="preserve">Apr 02, 2025</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Follow-up strategic advisory meeting with the client's legal and development teams to discuss negotiation strategies with the Miami Office of Environmental Regulation regarding stormwater management permits.</w:t>
            </w:r>
          </w:p>
        </w:tc>
        <w:tc>
          <w:tcPr/>
          <w:p>
            <w:pPr>
              <w:pStyle w:val="Compact"/>
              <w:jc w:val="left"/>
            </w:pPr>
            <w:r>
              <w:t xml:space="preserve">Apr 15, 2025</w:t>
            </w:r>
          </w:p>
        </w:tc>
        <w:tc>
          <w:tcPr/>
          <w:p>
            <w:pPr>
              <w:pStyle w:val="Compact"/>
              <w:jc w:val="left"/>
            </w:pPr>
            <w:r>
              <w:t xml:space="preserve">3.5</w:t>
            </w:r>
          </w:p>
        </w:tc>
        <w:tc>
          <w:tcPr/>
          <w:p>
            <w:pPr>
              <w:pStyle w:val="Compact"/>
              <w:jc w:val="left"/>
            </w:pPr>
            <w:r>
              <w:t xml:space="preserve">$350.00</w:t>
            </w:r>
          </w:p>
        </w:tc>
        <w:tc>
          <w:tcPr/>
          <w:p>
            <w:pPr>
              <w:pStyle w:val="Compact"/>
              <w:jc w:val="left"/>
            </w:pPr>
            <w:r>
              <w:t xml:space="preserve">$1,225.00</w:t>
            </w:r>
          </w:p>
        </w:tc>
      </w:tr>
      <w:tr>
        <w:tc>
          <w:tcPr/>
          <w:p>
            <w:pPr>
              <w:pStyle w:val="Compact"/>
              <w:jc w:val="left"/>
            </w:pPr>
            <w:r>
              <w:t xml:space="preserve">5</w:t>
            </w:r>
          </w:p>
        </w:tc>
        <w:tc>
          <w:tcPr/>
          <w:p>
            <w:pPr>
              <w:pStyle w:val="Compact"/>
              <w:jc w:val="left"/>
            </w:pPr>
            <w:r>
              <w:t xml:space="preserve">Drafting of a formal public comment letter on behalf of the client to the Florida Department of Transportation regarding proposed I-95 corridor improvements affecting Miami commercial corridors.</w:t>
            </w:r>
          </w:p>
        </w:tc>
        <w:tc>
          <w:tcPr/>
          <w:p>
            <w:pPr>
              <w:pStyle w:val="Compact"/>
              <w:jc w:val="left"/>
            </w:pPr>
            <w:r>
              <w:t xml:space="preserve">Apr 28,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Quarterly progress review and updated policy landscape report covering all active legislative sessions in Tallahassee and local Miami municipal board actions relevant to the client's Q2 2025 development timeline.</w:t>
            </w:r>
          </w:p>
        </w:tc>
        <w:tc>
          <w:tcPr/>
          <w:p>
            <w:pPr>
              <w:pStyle w:val="Compact"/>
              <w:jc w:val="left"/>
            </w:pPr>
            <w:r>
              <w:t xml:space="preserve">May 20, 2025</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Emergency advisory consultation (phone and video) regarding sudden change in Miami-Dade County property tax assessment methodology and its impact on the client's holding structures.</w:t>
            </w:r>
          </w:p>
        </w:tc>
        <w:tc>
          <w:tcPr/>
          <w:p>
            <w:pPr>
              <w:pStyle w:val="Compact"/>
              <w:jc w:val="left"/>
            </w:pPr>
            <w:r>
              <w:t xml:space="preserve">May 29, 2025</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$14,775.00</w:t>
            </w:r>
          </w:p>
        </w:tc>
      </w:tr>
      <w:tr>
        <w:tc>
          <w:tcPr/>
          <w:p>
            <w:pPr>
              <w:pStyle w:val="Compact"/>
              <w:jc w:val="left"/>
            </w:pPr>
            <w:r>
              <w:t xml:space="preserve">Applicable Sales &amp; Service Tax (6.5% — Miami-Dade County, FL)</w:t>
            </w:r>
          </w:p>
        </w:tc>
        <w:tc>
          <w:tcPr/>
          <w:p>
            <w:pPr>
              <w:pStyle w:val="Compact"/>
              <w:jc w:val="left"/>
            </w:pPr>
            <w:r>
              <w:t xml:space="preserve">$960.38</w:t>
            </w:r>
          </w:p>
        </w:tc>
      </w:tr>
      <w:tr>
        <w:tc>
          <w:tcPr/>
          <w:p>
            <w:pPr>
              <w:pStyle w:val="Compact"/>
              <w:jc w:val="left"/>
            </w:pPr>
            <w:r>
              <w:t xml:space="preserve">State of Florida Service Tax (1.5%)</w:t>
            </w:r>
          </w:p>
        </w:tc>
        <w:tc>
          <w:tcPr/>
          <w:p>
            <w:pPr>
              <w:pStyle w:val="Compact"/>
              <w:jc w:val="left"/>
            </w:pPr>
            <w:r>
              <w:t xml:space="preserve">$221.63</w:t>
            </w:r>
          </w:p>
        </w:tc>
      </w:tr>
      <w:tr>
        <w:tc>
          <w:tcPr/>
          <w:p>
            <w:pPr>
              <w:pStyle w:val="Compact"/>
              <w:jc w:val="left"/>
            </w:pPr>
            <w:r>
              <w:t xml:space="preserve">Grand Total Due</w:t>
            </w:r>
          </w:p>
        </w:tc>
        <w:tc>
          <w:tcPr/>
          <w:p>
            <w:pPr>
              <w:pStyle w:val="Compact"/>
              <w:jc w:val="left"/>
            </w:pPr>
            <w:r>
              <w:t xml:space="preserve">$15,957.01</w:t>
            </w:r>
          </w:p>
        </w:tc>
      </w:tr>
    </w:tbl>
    <w:bookmarkStart w:id="25" w:name="terms-conditions-important-notes"/>
    <w:p>
      <w:pPr>
        <w:pStyle w:val="Heading3"/>
      </w:pPr>
      <w:r>
        <w:t xml:space="preserve">Terms, Conditions &amp; Important Notes</w:t>
      </w:r>
    </w:p>
    <w:p>
      <w:pPr>
        <w:pStyle w:val="FirstParagraph"/>
      </w:pPr>
      <w:r>
        <w:rPr>
          <w:bCs/>
          <w:b/>
        </w:rPr>
        <w:t xml:space="preserve">1.</w:t>
      </w:r>
      <w:r>
        <w:t xml:space="preserve"> </w:t>
      </w:r>
      <w:r>
        <w:t xml:space="preserve">This Invoice is issued in accordance with the professional services agreement (Contract No. ACDG-2025-0091) executed between the Politician, Hon. Marcus A. Delgado, and Atlantic Coastal Development Group, LLC. All services were rendered in compliance with Florida Statutes Chapter 112, Part III (Code of Ethics for Public Officers and Employees) and applicable United States federal regulations governing former and current public officials providing private consulting services.</w:t>
      </w:r>
    </w:p>
    <w:p>
      <w:pPr>
        <w:pStyle w:val="BodyText"/>
      </w:pPr>
      <w:r>
        <w:rPr>
          <w:bCs/>
          <w:b/>
        </w:rPr>
        <w:t xml:space="preserve">2.</w:t>
      </w:r>
      <w:r>
        <w:t xml:space="preserve"> </w:t>
      </w:r>
      <w:r>
        <w:t xml:space="preserve">Payment of this Invoice is due within thirty (30) calendar days of the date of issue. Late payments shall accrue interest at a rate of 1.5% per month, in accordance with Florida Statute 559.09. Payment may be made via wire transfer, certified check, or ACH to the account details provided on the remittance advice attached to this Invoice.</w:t>
      </w:r>
    </w:p>
    <w:p>
      <w:pPr>
        <w:pStyle w:val="BodyText"/>
      </w:pPr>
      <w:r>
        <w:rPr>
          <w:bCs/>
          <w:b/>
        </w:rPr>
        <w:t xml:space="preserve">3.</w:t>
      </w:r>
      <w:r>
        <w:t xml:space="preserve"> </w:t>
      </w:r>
      <w:r>
        <w:t xml:space="preserve">The Politician confirms that all advisory services described in this Invoice were performed in a strictly professional capacity and do not constitute the exercise of any official governmental authority. No official acts of the Florida State Legislature or Miami-Dade County government were performed in connection with the services billed herein.</w:t>
      </w:r>
    </w:p>
    <w:p>
      <w:pPr>
        <w:pStyle w:val="BodyText"/>
      </w:pPr>
      <w:r>
        <w:rPr>
          <w:bCs/>
          <w:b/>
        </w:rPr>
        <w:t xml:space="preserve">4.</w:t>
      </w:r>
      <w:r>
        <w:t xml:space="preserve"> </w:t>
      </w:r>
      <w:r>
        <w:t xml:space="preserve">This Invoice is valid only for the service period specified. Any additional services rendered outside the March 1, 2025 through May 31, 2025 window will be subject to a separate Invoice and prior written authorization from both parties.</w:t>
      </w:r>
    </w:p>
    <w:p>
      <w:pPr>
        <w:pStyle w:val="BodyText"/>
      </w:pPr>
      <w:r>
        <w:rPr>
          <w:bCs/>
          <w:b/>
        </w:rPr>
        <w:t xml:space="preserve">5.</w:t>
      </w:r>
      <w:r>
        <w:t xml:space="preserve"> </w:t>
      </w:r>
      <w:r>
        <w:t xml:space="preserve">All disputes arising from this Invoice shall be governed by the laws of the State of Florida and the United States, with exclusive jurisdiction in the Circuit Court of Miami-Dade County, Florida. The parties agree to attempt good-faith mediation in United States Miami before initiating any formal legal proceedings.</w:t>
      </w:r>
    </w:p>
    <w:p>
      <w:pPr>
        <w:pStyle w:val="BodyText"/>
      </w:pPr>
      <w:r>
        <w:rPr>
          <w:bCs/>
          <w:b/>
        </w:rPr>
        <w:t xml:space="preserve">6.</w:t>
      </w:r>
      <w:r>
        <w:t xml:space="preserve"> </w:t>
      </w:r>
      <w:r>
        <w:t xml:space="preserve">This document constitutes the final and complete Invoice for the referenced service period. No verbal agreements, preliminary estimates, or informal communications shall modify the amounts stated herein unless a written amendment signed by both parties is executed.</w:t>
      </w:r>
    </w:p>
    <w:bookmarkEnd w:id="25"/>
    <w:p>
      <w:pPr>
        <w:pStyle w:val="BodyText"/>
      </w:pPr>
      <w:r>
        <w:rPr>
          <w:bCs/>
          <w:b/>
        </w:rPr>
        <w:t xml:space="preserve">Invoice INV-2025-MIA-00472</w:t>
      </w:r>
      <w:r>
        <w:t xml:space="preserve"> </w:t>
      </w:r>
      <w:r>
        <w:t xml:space="preserve">— Issued by the Office of Politician Hon. Marcus A. Delgado, Miami, Florida, United States.</w:t>
      </w:r>
    </w:p>
    <w:p>
      <w:pPr>
        <w:pStyle w:val="BodyText"/>
      </w:pPr>
      <w:r>
        <w:t xml:space="preserve">This Invoice was generated electronically and is valid without a physical signature. For verification, contact the issuing office at (305) 555-0147 or office@repdelgado-fl.gov.</w:t>
      </w:r>
    </w:p>
    <w:p>
      <w:pPr>
        <w:pStyle w:val="BodyText"/>
      </w:pPr>
      <w:r>
        <w:t xml:space="preserve">© 2025 Office of the Politician, United States Miami. All rights reserved. Document Reference: ACDG-2025-0091 / INV-2025-MIA-00472.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United States Miami</dc:title>
  <dc:creator/>
  <dc:language>en</dc:language>
  <cp:keywords/>
  <dcterms:created xsi:type="dcterms:W3CDTF">2026-10-10T07:07:49Z</dcterms:created>
  <dcterms:modified xsi:type="dcterms:W3CDTF">2026-10-10T07:07:49Z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