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p>
    <w:p>
      <w:pPr>
        <w:pStyle w:val="FirstParagraph"/>
      </w:pPr>
      <w:r>
        <w:t xml:space="preserve">INVOICE</w:t>
      </w:r>
    </w:p>
    <w:p>
      <w:pPr>
        <w:pStyle w:val="BodyText"/>
      </w:pPr>
      <w:r>
        <w:t xml:space="preserve">Invoice No: NYC-PLT-2025-04872</w:t>
      </w:r>
    </w:p>
    <w:p>
      <w:pPr>
        <w:pStyle w:val="BodyText"/>
      </w:pPr>
      <w:r>
        <w:t xml:space="preserve">Political Services Division</w:t>
      </w:r>
    </w:p>
    <w:p>
      <w:pPr>
        <w:pStyle w:val="BodyText"/>
      </w:pPr>
      <w:r>
        <w:rPr>
          <w:bCs/>
          <w:b/>
        </w:rPr>
        <w:t xml:space="preserve">Meridian Political Strategy Group LLC</w:t>
      </w:r>
      <w:r>
        <w:br/>
      </w:r>
      <w:r>
        <w:t xml:space="preserve">450 Park Avenue, Suite 2800</w:t>
      </w:r>
      <w:r>
        <w:br/>
      </w:r>
      <w:r>
        <w:t xml:space="preserve">New York City, New York 10022</w:t>
      </w:r>
      <w:r>
        <w:br/>
      </w:r>
      <w:r>
        <w:t xml:space="preserve">United States of America</w:t>
      </w:r>
      <w:r>
        <w:br/>
      </w:r>
      <w:r>
        <w:t xml:space="preserve">Phone: (212) 555-0147</w:t>
      </w:r>
      <w:r>
        <w:br/>
      </w:r>
      <w:r>
        <w:t xml:space="preserve">Email: billing@meridianpolitical.com</w:t>
      </w:r>
      <w:r>
        <w:br/>
      </w:r>
      <w:r>
        <w:t xml:space="preserve">EIN: 84-2937165</w:t>
      </w:r>
    </w:p>
    <w:bookmarkStart w:id="20" w:name="billed-to"/>
    <w:p>
      <w:pPr>
        <w:pStyle w:val="Heading3"/>
      </w:pPr>
      <w:r>
        <w:t xml:space="preserve">Billed To</w:t>
      </w:r>
    </w:p>
    <w:p>
      <w:pPr>
        <w:pStyle w:val="FirstParagraph"/>
      </w:pPr>
      <w:r>
        <w:t xml:space="preserve">The Honorable Senator Margaret E. Whitfield</w:t>
      </w:r>
    </w:p>
    <w:p>
      <w:pPr>
        <w:pStyle w:val="BodyText"/>
      </w:pPr>
      <w:r>
        <w:t xml:space="preserve">Office of the United States Senator</w:t>
      </w:r>
    </w:p>
    <w:p>
      <w:pPr>
        <w:pStyle w:val="BodyText"/>
      </w:pPr>
      <w:r>
        <w:t xml:space="preserve">United States Senate, New York State Delegation</w:t>
      </w:r>
    </w:p>
    <w:p>
      <w:pPr>
        <w:pStyle w:val="BodyText"/>
      </w:pPr>
      <w:r>
        <w:t xml:space="preserve">225 Broadway, Suite 400</w:t>
      </w:r>
    </w:p>
    <w:p>
      <w:pPr>
        <w:pStyle w:val="BodyText"/>
      </w:pPr>
      <w:r>
        <w:t xml:space="preserve">New York City, New York 10038</w:t>
      </w:r>
    </w:p>
    <w:p>
      <w:pPr>
        <w:pStyle w:val="BodyText"/>
      </w:pPr>
      <w:r>
        <w:t xml:space="preserve">United States of America</w:t>
      </w:r>
    </w:p>
    <w:p>
      <w:pPr>
        <w:pStyle w:val="BodyText"/>
      </w:pPr>
      <w:r>
        <w:t xml:space="preserve">Attn: Chief of Staff, David R. Kowalski</w:t>
      </w:r>
    </w:p>
    <w:bookmarkEnd w:id="20"/>
    <w:bookmarkStart w:id="21" w:name="invoice-details"/>
    <w:p>
      <w:pPr>
        <w:pStyle w:val="Heading3"/>
      </w:pPr>
      <w:r>
        <w:t xml:space="preserve">Invoice Details</w:t>
      </w:r>
    </w:p>
    <w:p>
      <w:pPr>
        <w:pStyle w:val="FirstParagraph"/>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May 1 – May 31, 2025</w:t>
      </w:r>
    </w:p>
    <w:p>
      <w:pPr>
        <w:pStyle w:val="BodyText"/>
      </w:pPr>
      <w:r>
        <w:rPr>
          <w:bCs/>
          <w:b/>
        </w:rPr>
        <w:t xml:space="preserve">Reference:</w:t>
      </w:r>
      <w:r>
        <w:t xml:space="preserve"> </w:t>
      </w:r>
      <w:r>
        <w:t xml:space="preserve">Campaign &amp; Policy Advisory Contract #PLT-NYC-2025-091</w:t>
      </w:r>
    </w:p>
    <w:p>
      <w:pPr>
        <w:pStyle w:val="BodyText"/>
      </w:pPr>
      <w:r>
        <w:rPr>
          <w:bCs/>
          <w:b/>
        </w:rPr>
        <w:t xml:space="preserve">State of Jurisdiction:</w:t>
      </w:r>
      <w:r>
        <w:t xml:space="preserve"> </w:t>
      </w:r>
      <w:r>
        <w:t xml:space="preserve">New York, United States</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w:t>
            </w:r>
          </w:p>
        </w:tc>
        <w:tc>
          <w:tcPr/>
          <w:p>
            <w:pPr>
              <w:pStyle w:val="Compact"/>
              <w:jc w:val="left"/>
            </w:pPr>
            <w:r>
              <w:t xml:space="preserve">Category</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policy analysis and legislative briefing preparation for the United States Senator regarding the Metropolitan Infrastructure Modernization Act, including drafting of talking points, opposition research summaries, and constituent impact assessments specific to New York City districts.</w:t>
            </w:r>
          </w:p>
        </w:tc>
        <w:tc>
          <w:tcPr/>
          <w:p>
            <w:pPr>
              <w:pStyle w:val="Compact"/>
              <w:jc w:val="left"/>
            </w:pPr>
            <w:r>
              <w:t xml:space="preserve">Policy Advisory</w:t>
            </w:r>
          </w:p>
        </w:tc>
        <w:tc>
          <w:tcPr/>
          <w:p>
            <w:pPr>
              <w:pStyle w:val="Compact"/>
              <w:jc w:val="left"/>
            </w:pPr>
            <w:r>
              <w:t xml:space="preserve">42</w:t>
            </w:r>
          </w:p>
        </w:tc>
        <w:tc>
          <w:tcPr/>
          <w:p>
            <w:pPr>
              <w:pStyle w:val="Compact"/>
              <w:jc w:val="left"/>
            </w:pPr>
            <w:r>
              <w:t xml:space="preserve">$325.00</w:t>
            </w:r>
          </w:p>
        </w:tc>
        <w:tc>
          <w:tcPr/>
          <w:p>
            <w:pPr>
              <w:pStyle w:val="Compact"/>
              <w:jc w:val="left"/>
            </w:pPr>
            <w:r>
              <w:t xml:space="preserve">$13,650.00</w:t>
            </w:r>
          </w:p>
        </w:tc>
      </w:tr>
      <w:tr>
        <w:tc>
          <w:tcPr/>
          <w:p>
            <w:pPr>
              <w:pStyle w:val="Compact"/>
              <w:jc w:val="left"/>
            </w:pPr>
            <w:r>
              <w:t xml:space="preserve">2</w:t>
            </w:r>
          </w:p>
        </w:tc>
        <w:tc>
          <w:tcPr/>
          <w:p>
            <w:pPr>
              <w:pStyle w:val="Compact"/>
              <w:jc w:val="left"/>
            </w:pPr>
            <w:r>
              <w:t xml:space="preserve">Strategic communications planning and media relations coordination for the Politician's public address at the New York City Council Chamber on May 8, 2025, covering press conference logistics, media credential management, Q&amp;A preparation, and post-event press release distribution across all five boroughs.</w:t>
            </w:r>
          </w:p>
        </w:tc>
        <w:tc>
          <w:tcPr/>
          <w:p>
            <w:pPr>
              <w:pStyle w:val="Compact"/>
              <w:jc w:val="left"/>
            </w:pPr>
            <w:r>
              <w:t xml:space="preserve">Communications</w:t>
            </w:r>
          </w:p>
        </w:tc>
        <w:tc>
          <w:tcPr/>
          <w:p>
            <w:pPr>
              <w:pStyle w:val="Compact"/>
              <w:jc w:val="left"/>
            </w:pPr>
            <w:r>
              <w:t xml:space="preserve">28</w:t>
            </w:r>
          </w:p>
        </w:tc>
        <w:tc>
          <w:tcPr/>
          <w:p>
            <w:pPr>
              <w:pStyle w:val="Compact"/>
              <w:jc w:val="left"/>
            </w:pPr>
            <w:r>
              <w:t xml:space="preserve">$295.00</w:t>
            </w:r>
          </w:p>
        </w:tc>
        <w:tc>
          <w:tcPr/>
          <w:p>
            <w:pPr>
              <w:pStyle w:val="Compact"/>
              <w:jc w:val="left"/>
            </w:pPr>
            <w:r>
              <w:t xml:space="preserve">$8,260.00</w:t>
            </w:r>
          </w:p>
        </w:tc>
      </w:tr>
      <w:tr>
        <w:tc>
          <w:tcPr/>
          <w:p>
            <w:pPr>
              <w:pStyle w:val="Compact"/>
              <w:jc w:val="left"/>
            </w:pPr>
            <w:r>
              <w:t xml:space="preserve">3</w:t>
            </w:r>
          </w:p>
        </w:tc>
        <w:tc>
          <w:tcPr/>
          <w:p>
            <w:pPr>
              <w:pStyle w:val="Compact"/>
              <w:jc w:val="left"/>
            </w:pPr>
            <w:r>
              <w:t xml:space="preserve">Constituent engagement strategy development and town hall facilitation services for three (3) community meetings held in Manhattan, Brooklyn, and Queens, New York City, including voter sentiment analysis, demographic data interpretation, and follow-up correspondence management for the Politician's office.</w:t>
            </w:r>
          </w:p>
        </w:tc>
        <w:tc>
          <w:tcPr/>
          <w:p>
            <w:pPr>
              <w:pStyle w:val="Compact"/>
              <w:jc w:val="left"/>
            </w:pPr>
            <w:r>
              <w:t xml:space="preserve">Constituent Services</w:t>
            </w:r>
          </w:p>
        </w:tc>
        <w:tc>
          <w:tcPr/>
          <w:p>
            <w:pPr>
              <w:pStyle w:val="Compact"/>
              <w:jc w:val="left"/>
            </w:pPr>
            <w:r>
              <w:t xml:space="preserve">36</w:t>
            </w:r>
          </w:p>
        </w:tc>
        <w:tc>
          <w:tcPr/>
          <w:p>
            <w:pPr>
              <w:pStyle w:val="Compact"/>
              <w:jc w:val="left"/>
            </w:pPr>
            <w:r>
              <w:t xml:space="preserve">$275.00</w:t>
            </w:r>
          </w:p>
        </w:tc>
        <w:tc>
          <w:tcPr/>
          <w:p>
            <w:pPr>
              <w:pStyle w:val="Compact"/>
              <w:jc w:val="left"/>
            </w:pPr>
            <w:r>
              <w:t xml:space="preserve">$9,900.00</w:t>
            </w:r>
          </w:p>
        </w:tc>
      </w:tr>
      <w:tr>
        <w:tc>
          <w:tcPr/>
          <w:p>
            <w:pPr>
              <w:pStyle w:val="Compact"/>
              <w:jc w:val="left"/>
            </w:pPr>
            <w:r>
              <w:t xml:space="preserve">4</w:t>
            </w:r>
          </w:p>
        </w:tc>
        <w:tc>
          <w:tcPr/>
          <w:p>
            <w:pPr>
              <w:pStyle w:val="Compact"/>
              <w:jc w:val="left"/>
            </w:pPr>
            <w:r>
              <w:t xml:space="preserve">Campaign finance compliance review and Federal Election Commission (FEC) reporting assistance for the Politician's Senate re-election committee, ensuring full adherence to New York State campaign finance laws and United States federal election regulations, including reconciliation of all contributions exceeding the $2,900 individual limit.</w:t>
            </w:r>
          </w:p>
        </w:tc>
        <w:tc>
          <w:tcPr/>
          <w:p>
            <w:pPr>
              <w:pStyle w:val="Compact"/>
              <w:jc w:val="left"/>
            </w:pPr>
            <w:r>
              <w:t xml:space="preserve">Compliance &amp; Legal</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5</w:t>
            </w:r>
          </w:p>
        </w:tc>
        <w:tc>
          <w:tcPr/>
          <w:p>
            <w:pPr>
              <w:pStyle w:val="Compact"/>
              <w:jc w:val="left"/>
            </w:pPr>
            <w:r>
              <w:t xml:space="preserve">Opposition research and competitive intelligence gathering regarding rival candidates in the New York City metropolitan political landscape, including analysis of polling data, social media sentiment tracking, and detailed briefing memoranda delivered to the Politician's senior advisory team on a weekly basis throughout May 2025.</w:t>
            </w:r>
          </w:p>
        </w:tc>
        <w:tc>
          <w:tcPr/>
          <w:p>
            <w:pPr>
              <w:pStyle w:val="Compact"/>
              <w:jc w:val="left"/>
            </w:pPr>
            <w:r>
              <w:t xml:space="preserve">Research &amp; Intelligence</w:t>
            </w:r>
          </w:p>
        </w:tc>
        <w:tc>
          <w:tcPr/>
          <w:p>
            <w:pPr>
              <w:pStyle w:val="Compact"/>
              <w:jc w:val="left"/>
            </w:pPr>
            <w:r>
              <w:t xml:space="preserve">30</w:t>
            </w:r>
          </w:p>
        </w:tc>
        <w:tc>
          <w:tcPr/>
          <w:p>
            <w:pPr>
              <w:pStyle w:val="Compact"/>
              <w:jc w:val="left"/>
            </w:pPr>
            <w:r>
              <w:t xml:space="preserve">$310.00</w:t>
            </w:r>
          </w:p>
        </w:tc>
        <w:tc>
          <w:tcPr/>
          <w:p>
            <w:pPr>
              <w:pStyle w:val="Compact"/>
              <w:jc w:val="left"/>
            </w:pPr>
            <w:r>
              <w:t xml:space="preserve">$9,300.00</w:t>
            </w:r>
          </w:p>
        </w:tc>
      </w:tr>
      <w:tr>
        <w:tc>
          <w:tcPr/>
          <w:p>
            <w:pPr>
              <w:pStyle w:val="Compact"/>
              <w:jc w:val="left"/>
            </w:pPr>
            <w:r>
              <w:t xml:space="preserve">6</w:t>
            </w:r>
          </w:p>
        </w:tc>
        <w:tc>
          <w:tcPr/>
          <w:p>
            <w:pPr>
              <w:pStyle w:val="Compact"/>
              <w:jc w:val="left"/>
            </w:pPr>
            <w:r>
              <w:t xml:space="preserve">Event production and logistics coordination for the Politician's annual New York City Democratic Leadership Summit held at the Hilton Midtown, Manhattan, including venue management, speaker scheduling, AV technical support, catering coordination, and post-event donor engagement follow-up for 450 registered attendees.</w:t>
            </w:r>
          </w:p>
        </w:tc>
        <w:tc>
          <w:tcPr/>
          <w:p>
            <w:pPr>
              <w:pStyle w:val="Compact"/>
              <w:jc w:val="left"/>
            </w:pPr>
            <w:r>
              <w:t xml:space="preserve">Event Management</w:t>
            </w:r>
          </w:p>
        </w:tc>
        <w:tc>
          <w:tcPr/>
          <w:p>
            <w:pPr>
              <w:pStyle w:val="Compact"/>
              <w:jc w:val="left"/>
            </w:pPr>
            <w:r>
              <w:t xml:space="preserve">48</w:t>
            </w:r>
          </w:p>
        </w:tc>
        <w:tc>
          <w:tcPr/>
          <w:p>
            <w:pPr>
              <w:pStyle w:val="Compact"/>
              <w:jc w:val="left"/>
            </w:pPr>
            <w:r>
              <w:t xml:space="preserve">$260.00</w:t>
            </w:r>
          </w:p>
        </w:tc>
        <w:tc>
          <w:tcPr/>
          <w:p>
            <w:pPr>
              <w:pStyle w:val="Compact"/>
              <w:jc w:val="left"/>
            </w:pPr>
            <w:r>
              <w:t xml:space="preserve">$12,480.00</w:t>
            </w:r>
          </w:p>
        </w:tc>
      </w:tr>
      <w:tr>
        <w:tc>
          <w:tcPr/>
          <w:p>
            <w:pPr>
              <w:pStyle w:val="Compact"/>
              <w:jc w:val="left"/>
            </w:pPr>
            <w:r>
              <w:t xml:space="preserve">7</w:t>
            </w:r>
          </w:p>
        </w:tc>
        <w:tc>
          <w:tcPr/>
          <w:p>
            <w:pPr>
              <w:pStyle w:val="Compact"/>
              <w:jc w:val="left"/>
            </w:pPr>
            <w:r>
              <w:t xml:space="preserve">Digital media strategy and social media content management for the Politician's official channels, including production of 12 video segments, 48 social media posts, email newsletter design and distribution to 85,000 subscribers, and A/B testing of messaging strategies tailored to New York City voter demographics.</w:t>
            </w:r>
          </w:p>
        </w:tc>
        <w:tc>
          <w:tcPr/>
          <w:p>
            <w:pPr>
              <w:pStyle w:val="Compact"/>
              <w:jc w:val="left"/>
            </w:pPr>
            <w:r>
              <w:t xml:space="preserve">Digital Strategy</w:t>
            </w:r>
          </w:p>
        </w:tc>
        <w:tc>
          <w:tcPr/>
          <w:p>
            <w:pPr>
              <w:pStyle w:val="Compact"/>
              <w:jc w:val="left"/>
            </w:pPr>
            <w:r>
              <w:t xml:space="preserve">34</w:t>
            </w:r>
          </w:p>
        </w:tc>
        <w:tc>
          <w:tcPr/>
          <w:p>
            <w:pPr>
              <w:pStyle w:val="Compact"/>
              <w:jc w:val="left"/>
            </w:pPr>
            <w:r>
              <w:t xml:space="preserve">$285.00</w:t>
            </w:r>
          </w:p>
        </w:tc>
        <w:tc>
          <w:tcPr/>
          <w:p>
            <w:pPr>
              <w:pStyle w:val="Compact"/>
              <w:jc w:val="left"/>
            </w:pPr>
            <w:r>
              <w:t xml:space="preserve">$9,690.00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$71,680.00</w:t>
            </w:r>
          </w:p>
        </w:tc>
      </w:tr>
      <w:tr>
        <w:tc>
          <w:tcPr/>
          <w:p>
            <w:pPr>
              <w:pStyle w:val="Compact"/>
              <w:jc w:val="left"/>
            </w:pPr>
            <w:r>
              <w:t xml:space="preserve">New York State Sales Tax (8.875%)</w:t>
            </w:r>
          </w:p>
        </w:tc>
        <w:tc>
          <w:tcPr/>
          <w:p>
            <w:pPr>
              <w:pStyle w:val="Compact"/>
              <w:jc w:val="left"/>
            </w:pPr>
            <w:r>
              <w:t xml:space="preserve">$6,361.60</w:t>
            </w:r>
          </w:p>
        </w:tc>
      </w:tr>
      <w:tr>
        <w:tc>
          <w:tcPr/>
          <w:p>
            <w:pPr>
              <w:pStyle w:val="Compact"/>
              <w:jc w:val="left"/>
            </w:pPr>
            <w:r>
              <w:t xml:space="preserve">New York City Municipal Tax (0.3%)</w:t>
            </w:r>
          </w:p>
        </w:tc>
        <w:tc>
          <w:tcPr/>
          <w:p>
            <w:pPr>
              <w:pStyle w:val="Compact"/>
              <w:jc w:val="left"/>
            </w:pPr>
            <w:r>
              <w:t xml:space="preserve">$215.04</w:t>
            </w:r>
          </w:p>
        </w:tc>
      </w:tr>
      <w:tr>
        <w:tc>
          <w:tcPr/>
          <w:p>
            <w:pPr>
              <w:pStyle w:val="Compact"/>
              <w:jc w:val="left"/>
            </w:pPr>
            <w:r>
              <w:t xml:space="preserve">Expedited Delivery Surcharge</w:t>
            </w:r>
          </w:p>
        </w:tc>
        <w:tc>
          <w:tcPr/>
          <w:p>
            <w:pPr>
              <w:pStyle w:val="Compact"/>
              <w:jc w:val="left"/>
            </w:pPr>
            <w:r>
              <w:t xml:space="preserve">$350.00</w:t>
            </w:r>
          </w:p>
        </w:tc>
      </w:tr>
      <w:tr>
        <w:tc>
          <w:tcPr/>
          <w:p>
            <w:pPr>
              <w:pStyle w:val="Compact"/>
              <w:jc w:val="left"/>
            </w:pPr>
            <w:r>
              <w:t xml:space="preserve">Grand Total Due</w:t>
            </w:r>
          </w:p>
        </w:tc>
        <w:tc>
          <w:tcPr/>
          <w:p>
            <w:pPr>
              <w:pStyle w:val="Compact"/>
              <w:jc w:val="left"/>
            </w:pPr>
            <w:r>
              <w:t xml:space="preserve">$78,606.64</w:t>
            </w:r>
          </w:p>
        </w:tc>
      </w:tr>
    </w:tbl>
    <w:bookmarkStart w:id="22" w:name="terms-conditions-payment-instructions"/>
    <w:p>
      <w:pPr>
        <w:pStyle w:val="Heading3"/>
      </w:pPr>
      <w:r>
        <w:t xml:space="preserve">Terms, Conditions &amp; Payment Instructions</w:t>
      </w:r>
    </w:p>
    <w:p>
      <w:pPr>
        <w:pStyle w:val="FirstParagraph"/>
      </w:pPr>
      <w:r>
        <w:t xml:space="preserve">This invoice is issued by Meridian Political Strategy Group LLC, a New York State registered limited liability company operating within the United States of America, in accordance with the Political Services Advisory Agreement (Contract #PLT-NYC-2025-091) executed between the firm and the Office of the Honorable Senator Margaret E. Whitfield on January 15, 2025.</w:t>
      </w:r>
    </w:p>
    <w:p>
      <w:pPr>
        <w:numPr>
          <w:ilvl w:val="0"/>
          <w:numId w:val="1001"/>
        </w:numPr>
        <w:pStyle w:val="Compact"/>
      </w:pPr>
      <w:r>
        <w:rPr>
          <w:bCs/>
          <w:b/>
        </w:rPr>
        <w:t xml:space="preserve">Payment Method:</w:t>
      </w:r>
      <w:r>
        <w:t xml:space="preserve"> </w:t>
      </w:r>
      <w:r>
        <w:t xml:space="preserve">Payment shall be made via wire transfer to Meridian Political Strategy Group LLC, Bank of America, Account No. 4471-8829-003, Routing No. 026009593, or by certified check payable to "Meridian Political Strategy Group LLC" mailed to the address listed above in New York City.</w:t>
      </w:r>
    </w:p>
    <w:p>
      <w:pPr>
        <w:numPr>
          <w:ilvl w:val="0"/>
          <w:numId w:val="1001"/>
        </w:numPr>
        <w:pStyle w:val="Compact"/>
      </w:pPr>
      <w:r>
        <w:rPr>
          <w:bCs/>
          <w:b/>
        </w:rPr>
        <w:t xml:space="preserve">Payment Deadline:</w:t>
      </w:r>
      <w:r>
        <w:t xml:space="preserve"> </w:t>
      </w:r>
      <w:r>
        <w:t xml:space="preserve">Full payment of $78,606.64 is due no later than July 12, 2025. Late payments shall accrue interest at a rate of 1.5% per month as permitted under New York State General Obligations Law Section 5-531.</w:t>
      </w:r>
    </w:p>
    <w:p>
      <w:pPr>
        <w:numPr>
          <w:ilvl w:val="0"/>
          <w:numId w:val="1001"/>
        </w:numPr>
        <w:pStyle w:val="Compact"/>
      </w:pPr>
      <w:r>
        <w:rPr>
          <w:bCs/>
          <w:b/>
        </w:rPr>
        <w:t xml:space="preserve">Dispute Resolution:</w:t>
      </w:r>
      <w:r>
        <w:t xml:space="preserve"> </w:t>
      </w:r>
      <w:r>
        <w:t xml:space="preserve">Any disputes arising from this invoice or the underlying services shall be resolved through binding arbitration in New York City, New York, in accordance with the rules of the American Arbitration Association. All proceedings shall be conducted in English.</w:t>
      </w:r>
    </w:p>
    <w:p>
      <w:pPr>
        <w:numPr>
          <w:ilvl w:val="0"/>
          <w:numId w:val="1001"/>
        </w:numPr>
        <w:pStyle w:val="Compact"/>
      </w:pPr>
      <w:r>
        <w:rPr>
          <w:bCs/>
          <w:b/>
        </w:rPr>
        <w:t xml:space="preserve">Confidentiality:</w:t>
      </w:r>
      <w:r>
        <w:t xml:space="preserve"> </w:t>
      </w:r>
      <w:r>
        <w:t xml:space="preserve">All information contained in this invoice and the associated services shall be treated as confidential in accordance with the Federal Election Campaign Act of 1971, as amended, and New York State Election Law. Unauthorized disclosure of campaign strategy materials is strictly prohibited.</w:t>
      </w:r>
    </w:p>
    <w:p>
      <w:pPr>
        <w:numPr>
          <w:ilvl w:val="0"/>
          <w:numId w:val="1001"/>
        </w:numPr>
        <w:pStyle w:val="Compact"/>
      </w:pPr>
      <w:r>
        <w:rPr>
          <w:bCs/>
          <w:b/>
        </w:rPr>
        <w:t xml:space="preserve">Governing Law:</w:t>
      </w:r>
      <w:r>
        <w:t xml:space="preserve"> </w:t>
      </w:r>
      <w:r>
        <w:t xml:space="preserve">This invoice and all related obligations shall be governed by and construed in accordance with the laws of the State of New York and the applicable federal laws of the United States of America.</w:t>
      </w:r>
    </w:p>
    <w:p>
      <w:pPr>
        <w:numPr>
          <w:ilvl w:val="0"/>
          <w:numId w:val="1001"/>
        </w:numPr>
        <w:pStyle w:val="Compact"/>
      </w:pPr>
      <w:r>
        <w:rPr>
          <w:bCs/>
          <w:b/>
        </w:rPr>
        <w:t xml:space="preserve">Compliance Note:</w:t>
      </w:r>
      <w:r>
        <w:t xml:space="preserve"> </w:t>
      </w:r>
      <w:r>
        <w:t xml:space="preserve">All services rendered under this invoice comply with the Federal Election Commission regulations, New York State Board of Elections guidelines, and the New York City Campaign Finance Act. No portion of these services constitutes a prohibited contribution or expenditure under 52 U.S.C. § 30101 et seq.</w:t>
      </w:r>
    </w:p>
    <w:bookmarkEnd w:id="22"/>
    <w:p>
      <w:pPr>
        <w:pStyle w:val="FirstParagraph"/>
      </w:pPr>
      <w:r>
        <w:t xml:space="preserve">Meridian Political Strategy Group LLC • 450 Park Avenue, Suite 2800, New York City, NY 10022, United States of America</w:t>
      </w:r>
    </w:p>
    <w:p>
      <w:pPr>
        <w:pStyle w:val="BodyText"/>
      </w:pPr>
      <w:r>
        <w:t xml:space="preserve">This invoice was generated electronically and is valid without a physical signature. For questions regarding this invoice, please contact our billing department at (212) 555-0147 or billing@meridianpolitical.com.</w:t>
      </w:r>
    </w:p>
    <w:p>
      <w:pPr>
        <w:pStyle w:val="BodyText"/>
      </w:pPr>
      <w:r>
        <w:t xml:space="preserve">© 2025 Meridian Political Strategy Group LLC. All rights reserved. Invoice No. NYC-PLT-2025-04872.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Consulting Services - New York City</dc:title>
  <dc:creator/>
  <dc:language>en</dc:language>
  <cp:keywords/>
  <dcterms:created xsi:type="dcterms:W3CDTF">2026-10-10T07:49:25Z</dcterms:created>
  <dcterms:modified xsi:type="dcterms:W3CDTF">2026-10-10T07:49:25Z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