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Tashkent,</w:t>
      </w:r>
      <w:r>
        <w:t xml:space="preserve"> </w:t>
      </w:r>
      <w:r>
        <w:t xml:space="preserve">Uzbekistan</w:t>
      </w:r>
    </w:p>
    <w:p>
      <w:pPr>
        <w:pStyle w:val="FirstParagraph"/>
      </w:pPr>
      <w:r>
        <w:t xml:space="preserve">INVOICE</w:t>
      </w:r>
    </w:p>
    <w:p>
      <w:pPr>
        <w:pStyle w:val="BodyText"/>
      </w:pPr>
      <w:r>
        <w:t xml:space="preserve">Invoice No: UZ-TK-2025-04871</w:t>
      </w:r>
    </w:p>
    <w:p>
      <w:pPr>
        <w:pStyle w:val="BodyText"/>
      </w:pPr>
      <w:r>
        <w:t xml:space="preserve">Tax Registration: 201548712345</w:t>
      </w:r>
    </w:p>
    <w:bookmarkStart w:id="20" w:name="navoiy-political-advisory-group"/>
    <w:p>
      <w:pPr>
        <w:pStyle w:val="Heading3"/>
      </w:pPr>
      <w:r>
        <w:t xml:space="preserve">Navoiy Political Advisory Group</w:t>
      </w:r>
    </w:p>
    <w:p>
      <w:pPr>
        <w:pStyle w:val="FirstParagraph"/>
      </w:pPr>
      <w:r>
        <w:t xml:space="preserve">14 Amir Temur Avenue, Suite 320</w:t>
      </w:r>
    </w:p>
    <w:p>
      <w:pPr>
        <w:pStyle w:val="BodyText"/>
      </w:pPr>
      <w:r>
        <w:t xml:space="preserve">Tashkent, 100011, Uzbekistan</w:t>
      </w:r>
    </w:p>
    <w:p>
      <w:pPr>
        <w:pStyle w:val="BodyText"/>
      </w:pPr>
      <w:r>
        <w:t xml:space="preserve">Tel: +998 (71) 200-45-67</w:t>
      </w:r>
    </w:p>
    <w:p>
      <w:pPr>
        <w:pStyle w:val="BodyText"/>
      </w:pPr>
      <w:r>
        <w:t xml:space="preserve">Email: billing@navoiy-advisory.uz</w:t>
      </w:r>
    </w:p>
    <w:bookmarkEnd w:id="20"/>
    <w:bookmarkStart w:id="21" w:name="billed-to"/>
    <w:p>
      <w:pPr>
        <w:pStyle w:val="Heading4"/>
      </w:pPr>
      <w:r>
        <w:t xml:space="preserve">Billed To</w:t>
      </w:r>
    </w:p>
    <w:p>
      <w:pPr>
        <w:pStyle w:val="FirstParagraph"/>
      </w:pPr>
      <w:r>
        <w:rPr>
          <w:bCs/>
          <w:b/>
        </w:rPr>
        <w:t xml:space="preserve">Honorable Senator Karimov, A.</w:t>
      </w:r>
    </w:p>
    <w:p>
      <w:pPr>
        <w:pStyle w:val="BodyText"/>
      </w:pPr>
      <w:r>
        <w:t xml:space="preserve">Member of the Legislative Assembly</w:t>
      </w:r>
    </w:p>
    <w:p>
      <w:pPr>
        <w:pStyle w:val="BodyText"/>
      </w:pPr>
      <w:r>
        <w:t xml:space="preserve">Parliament of the Republic of Uzbekistan</w:t>
      </w:r>
    </w:p>
    <w:p>
      <w:pPr>
        <w:pStyle w:val="BodyText"/>
      </w:pPr>
      <w:r>
        <w:t xml:space="preserve">Independence Square, Tashkent 100000</w:t>
      </w:r>
    </w:p>
    <w:p>
      <w:pPr>
        <w:pStyle w:val="BodyText"/>
      </w:pPr>
      <w:r>
        <w:t xml:space="preserve">Uzbekistan</w:t>
      </w:r>
    </w:p>
    <w:p>
      <w:pPr>
        <w:pStyle w:val="BodyText"/>
      </w:pPr>
      <w:r>
        <w:t xml:space="preserve">Phone: +998 (71) 233-89-01</w:t>
      </w:r>
    </w:p>
    <w:p>
      <w:pPr>
        <w:pStyle w:val="BodyText"/>
      </w:pPr>
      <w:r>
        <w:t xml:space="preserve">Email: office.senator.karimov@parliament.uz</w:t>
      </w:r>
    </w:p>
    <w:bookmarkEnd w:id="21"/>
    <w:bookmarkStart w:id="22" w:name="billed-by"/>
    <w:p>
      <w:pPr>
        <w:pStyle w:val="Heading4"/>
      </w:pPr>
      <w:r>
        <w:t xml:space="preserve">Billed By</w:t>
      </w:r>
    </w:p>
    <w:p>
      <w:pPr>
        <w:pStyle w:val="FirstParagraph"/>
      </w:pPr>
      <w:r>
        <w:rPr>
          <w:bCs/>
          <w:b/>
        </w:rPr>
        <w:t xml:space="preserve">Navoiy Political Advisory Group</w:t>
      </w:r>
    </w:p>
    <w:p>
      <w:pPr>
        <w:pStyle w:val="BodyText"/>
      </w:pPr>
      <w:r>
        <w:t xml:space="preserve">Licensed Political Consulting Firm</w:t>
      </w:r>
    </w:p>
    <w:p>
      <w:pPr>
        <w:pStyle w:val="BodyText"/>
      </w:pPr>
      <w:r>
        <w:t xml:space="preserve">License No: PC-2024-00892</w:t>
      </w:r>
    </w:p>
    <w:p>
      <w:pPr>
        <w:pStyle w:val="BodyText"/>
      </w:pPr>
      <w:r>
        <w:t xml:space="preserve">14 Amir Temur Avenue, Suite 320</w:t>
      </w:r>
    </w:p>
    <w:p>
      <w:pPr>
        <w:pStyle w:val="BodyText"/>
      </w:pPr>
      <w:r>
        <w:t xml:space="preserve">Tashkent, 100011, Uzbekistan</w:t>
      </w:r>
    </w:p>
    <w:p>
      <w:pPr>
        <w:pStyle w:val="BodyText"/>
      </w:pPr>
      <w:r>
        <w:t xml:space="preserve">Bank: National Bank of Uzbekistan</w:t>
      </w:r>
    </w:p>
    <w:p>
      <w:pPr>
        <w:pStyle w:val="BodyText"/>
      </w:pPr>
      <w:r>
        <w:t xml:space="preserve">IBAN: UZ00 NBUZ 4871 2345 6789</w:t>
      </w:r>
    </w:p>
    <w:bookmarkEnd w:id="22"/>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Service Period</w:t>
      </w:r>
    </w:p>
    <w:p>
      <w:pPr>
        <w:pStyle w:val="BodyText"/>
      </w:pPr>
      <w:r>
        <w:t xml:space="preserve">01 May – 31 May 2025</w:t>
      </w:r>
    </w:p>
    <w:p>
      <w:pPr>
        <w:pStyle w:val="BodyText"/>
      </w:pPr>
      <w:r>
        <w:t xml:space="preserve">Currency</w:t>
      </w:r>
    </w:p>
    <w:p>
      <w:pPr>
        <w:pStyle w:val="BodyText"/>
      </w:pPr>
      <w:r>
        <w:t xml:space="preserve">UZS (Uzbek Som)</w:t>
      </w:r>
    </w:p>
    <w:p>
      <w:pPr>
        <w:pStyle w:val="BodyText"/>
      </w:pPr>
      <w:r>
        <w:t xml:space="preserve">Status</w:t>
      </w:r>
    </w:p>
    <w:p>
      <w:pPr>
        <w:pStyle w:val="BodyText"/>
      </w:pPr>
      <w:r>
        <w:t xml:space="preserve">PENDING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(UZS)</w:t>
            </w:r>
          </w:p>
        </w:tc>
        <w:tc>
          <w:tcPr/>
          <w:p>
            <w:pPr>
              <w:pStyle w:val="Compact"/>
              <w:jc w:val="left"/>
            </w:pPr>
            <w:r>
              <w:t xml:space="preserve">Hours/Units</w:t>
            </w:r>
          </w:p>
        </w:tc>
        <w:tc>
          <w:tcPr/>
          <w:p>
            <w:pPr>
              <w:pStyle w:val="Compact"/>
              <w:jc w:val="left"/>
            </w:pPr>
            <w:r>
              <w:t xml:space="preserve">Amount (UZS)</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Strategic policy advisory for the Politician's legislative agenda on agricultural reform in the Tashkent region, including drafting of three proposed bills for the upcoming parliamentary session.</w:t>
            </w:r>
          </w:p>
        </w:tc>
        <w:tc>
          <w:tcPr/>
          <w:p>
            <w:pPr>
              <w:pStyle w:val="Compact"/>
              <w:jc w:val="left"/>
            </w:pPr>
            <w:r>
              <w:t xml:space="preserve">1,200,000</w:t>
            </w:r>
          </w:p>
        </w:tc>
        <w:tc>
          <w:tcPr/>
          <w:p>
            <w:pPr>
              <w:pStyle w:val="Compact"/>
              <w:jc w:val="left"/>
            </w:pPr>
            <w:r>
              <w:t xml:space="preserve">40</w:t>
            </w:r>
          </w:p>
        </w:tc>
        <w:tc>
          <w:tcPr/>
          <w:p>
            <w:pPr>
              <w:pStyle w:val="Compact"/>
              <w:jc w:val="left"/>
            </w:pPr>
            <w:r>
              <w:t xml:space="preserve">48,000,000</w:t>
            </w:r>
          </w:p>
        </w:tc>
        <w:tc>
          <w:tcPr/>
          <w:p>
            <w:pPr>
              <w:pStyle w:val="Compact"/>
              <w:jc w:val="left"/>
            </w:pPr>
            <w:r>
              <w:t xml:space="preserve">PO-2025-0341</w:t>
            </w:r>
          </w:p>
        </w:tc>
      </w:tr>
      <w:tr>
        <w:tc>
          <w:tcPr/>
          <w:p>
            <w:pPr>
              <w:pStyle w:val="Compact"/>
              <w:jc w:val="left"/>
            </w:pPr>
            <w:r>
              <w:t xml:space="preserve">2</w:t>
            </w:r>
          </w:p>
        </w:tc>
        <w:tc>
          <w:tcPr/>
          <w:p>
            <w:pPr>
              <w:pStyle w:val="Compact"/>
              <w:jc w:val="left"/>
            </w:pPr>
            <w:r>
              <w:t xml:space="preserve">Public relations and media management for the Politician's public appearances at the Tashkent International Economic Forum, including press briefing preparation, media liaison, and post-event analysis reports.</w:t>
            </w:r>
          </w:p>
        </w:tc>
        <w:tc>
          <w:tcPr/>
          <w:p>
            <w:pPr>
              <w:pStyle w:val="Compact"/>
              <w:jc w:val="left"/>
            </w:pPr>
            <w:r>
              <w:t xml:space="preserve">950,000</w:t>
            </w:r>
          </w:p>
        </w:tc>
        <w:tc>
          <w:tcPr/>
          <w:p>
            <w:pPr>
              <w:pStyle w:val="Compact"/>
              <w:jc w:val="left"/>
            </w:pPr>
            <w:r>
              <w:t xml:space="preserve">24</w:t>
            </w:r>
          </w:p>
        </w:tc>
        <w:tc>
          <w:tcPr/>
          <w:p>
            <w:pPr>
              <w:pStyle w:val="Compact"/>
              <w:jc w:val="left"/>
            </w:pPr>
            <w:r>
              <w:t xml:space="preserve">22,800,000</w:t>
            </w:r>
          </w:p>
        </w:tc>
        <w:tc>
          <w:tcPr/>
          <w:p>
            <w:pPr>
              <w:pStyle w:val="Compact"/>
              <w:jc w:val="left"/>
            </w:pPr>
            <w:r>
              <w:t xml:space="preserve">PO-2025-0342</w:t>
            </w:r>
          </w:p>
        </w:tc>
      </w:tr>
      <w:tr>
        <w:tc>
          <w:tcPr/>
          <w:p>
            <w:pPr>
              <w:pStyle w:val="Compact"/>
              <w:jc w:val="left"/>
            </w:pPr>
            <w:r>
              <w:t xml:space="preserve">3</w:t>
            </w:r>
          </w:p>
        </w:tc>
        <w:tc>
          <w:tcPr/>
          <w:p>
            <w:pPr>
              <w:pStyle w:val="Compact"/>
              <w:jc w:val="left"/>
            </w:pPr>
            <w:r>
              <w:t xml:space="preserve">Constituency engagement planning and voter outreach strategy development for the Politician's district in Tashkent, covering 12 mahalla (neighborhood) meetings and community feedback collection.</w:t>
            </w:r>
          </w:p>
        </w:tc>
        <w:tc>
          <w:tcPr/>
          <w:p>
            <w:pPr>
              <w:pStyle w:val="Compact"/>
              <w:jc w:val="left"/>
            </w:pPr>
            <w:r>
              <w:t xml:space="preserve">800,000</w:t>
            </w:r>
          </w:p>
        </w:tc>
        <w:tc>
          <w:tcPr/>
          <w:p>
            <w:pPr>
              <w:pStyle w:val="Compact"/>
              <w:jc w:val="left"/>
            </w:pPr>
            <w:r>
              <w:t xml:space="preserve">30</w:t>
            </w:r>
          </w:p>
        </w:tc>
        <w:tc>
          <w:tcPr/>
          <w:p>
            <w:pPr>
              <w:pStyle w:val="Compact"/>
              <w:jc w:val="left"/>
            </w:pPr>
            <w:r>
              <w:t xml:space="preserve">24,000,000</w:t>
            </w:r>
          </w:p>
        </w:tc>
        <w:tc>
          <w:tcPr/>
          <w:p>
            <w:pPr>
              <w:pStyle w:val="Compact"/>
              <w:jc w:val="left"/>
            </w:pPr>
            <w:r>
              <w:t xml:space="preserve">PO-2025-0343</w:t>
            </w:r>
          </w:p>
        </w:tc>
      </w:tr>
      <w:tr>
        <w:tc>
          <w:tcPr/>
          <w:p>
            <w:pPr>
              <w:pStyle w:val="Compact"/>
              <w:jc w:val="left"/>
            </w:pPr>
            <w:r>
              <w:t xml:space="preserve">4</w:t>
            </w:r>
          </w:p>
        </w:tc>
        <w:tc>
          <w:tcPr/>
          <w:p>
            <w:pPr>
              <w:pStyle w:val="Compact"/>
              <w:jc w:val="left"/>
            </w:pPr>
            <w:r>
              <w:t xml:space="preserve">Bilingual (Uzbek and Russian) translation and localization of the Politician's official policy white papers for distribution across Uzbekistan, including legal review for compliance with the Republic of Uzbekistan's media and political communication regulations.</w:t>
            </w:r>
          </w:p>
        </w:tc>
        <w:tc>
          <w:tcPr/>
          <w:p>
            <w:pPr>
              <w:pStyle w:val="Compact"/>
              <w:jc w:val="left"/>
            </w:pPr>
            <w:r>
              <w:t xml:space="preserve">650,000</w:t>
            </w:r>
          </w:p>
        </w:tc>
        <w:tc>
          <w:tcPr/>
          <w:p>
            <w:pPr>
              <w:pStyle w:val="Compact"/>
              <w:jc w:val="left"/>
            </w:pPr>
            <w:r>
              <w:t xml:space="preserve">16</w:t>
            </w:r>
          </w:p>
        </w:tc>
        <w:tc>
          <w:tcPr/>
          <w:p>
            <w:pPr>
              <w:pStyle w:val="Compact"/>
              <w:jc w:val="left"/>
            </w:pPr>
            <w:r>
              <w:t xml:space="preserve">10,400,000</w:t>
            </w:r>
          </w:p>
        </w:tc>
        <w:tc>
          <w:tcPr/>
          <w:p>
            <w:pPr>
              <w:pStyle w:val="Compact"/>
              <w:jc w:val="left"/>
            </w:pPr>
            <w:r>
              <w:t xml:space="preserve">PO-2025-0344</w:t>
            </w:r>
          </w:p>
        </w:tc>
      </w:tr>
      <w:tr>
        <w:tc>
          <w:tcPr/>
          <w:p>
            <w:pPr>
              <w:pStyle w:val="Compact"/>
              <w:jc w:val="left"/>
            </w:pPr>
            <w:r>
              <w:t xml:space="preserve">5</w:t>
            </w:r>
          </w:p>
        </w:tc>
        <w:tc>
          <w:tcPr/>
          <w:p>
            <w:pPr>
              <w:pStyle w:val="Compact"/>
              <w:jc w:val="left"/>
            </w:pPr>
            <w:r>
              <w:t xml:space="preserve">Digital campaign infrastructure setup and maintenance for the Politician's official website and social media channels, including cybersecurity audit, content management system configuration, and monthly analytics reporting for the Tashkent-based political office.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PO-2025-0345</w:t>
            </w:r>
          </w:p>
        </w:tc>
      </w:tr>
      <w:tr>
        <w:tc>
          <w:tcPr/>
          <w:p>
            <w:pPr>
              <w:pStyle w:val="Compact"/>
              <w:jc w:val="left"/>
            </w:pPr>
            <w:r>
              <w:t xml:space="preserve">6</w:t>
            </w:r>
          </w:p>
        </w:tc>
        <w:tc>
          <w:tcPr/>
          <w:p>
            <w:pPr>
              <w:pStyle w:val="Compact"/>
              <w:jc w:val="left"/>
            </w:pPr>
            <w:r>
              <w:t xml:space="preserve">Inter-parliamentary liaison coordination for the Politician's bilateral meetings with foreign delegations visiting Tashkent, Uzbekistan, including protocol preparation, translation services, and diplomatic correspondence management.</w:t>
            </w:r>
          </w:p>
        </w:tc>
        <w:tc>
          <w:tcPr/>
          <w:p>
            <w:pPr>
              <w:pStyle w:val="Compact"/>
              <w:jc w:val="left"/>
            </w:pPr>
            <w:r>
              <w:t xml:space="preserve">1,100,000</w:t>
            </w:r>
          </w:p>
        </w:tc>
        <w:tc>
          <w:tcPr/>
          <w:p>
            <w:pPr>
              <w:pStyle w:val="Compact"/>
              <w:jc w:val="left"/>
            </w:pPr>
            <w:r>
              <w:t xml:space="preserve">12</w:t>
            </w:r>
          </w:p>
        </w:tc>
        <w:tc>
          <w:tcPr/>
          <w:p>
            <w:pPr>
              <w:pStyle w:val="Compact"/>
              <w:jc w:val="left"/>
            </w:pPr>
            <w:r>
              <w:t xml:space="preserve">13,200,000</w:t>
            </w:r>
          </w:p>
        </w:tc>
        <w:tc>
          <w:tcPr/>
          <w:p>
            <w:pPr>
              <w:pStyle w:val="Compact"/>
              <w:jc w:val="left"/>
            </w:pPr>
            <w:r>
              <w:t xml:space="preserve">PO-2025-0346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120,000,000 UZS</w:t>
            </w:r>
          </w:p>
        </w:tc>
      </w:tr>
      <w:tr>
        <w:tc>
          <w:tcPr/>
          <w:p>
            <w:pPr>
              <w:pStyle w:val="Compact"/>
              <w:jc w:val="left"/>
            </w:pPr>
            <w:r>
              <w:t xml:space="preserve">VAT (12% – Republic of Uzbekistan)</w:t>
            </w:r>
          </w:p>
        </w:tc>
        <w:tc>
          <w:tcPr/>
          <w:p>
            <w:pPr>
              <w:pStyle w:val="Compact"/>
              <w:jc w:val="left"/>
            </w:pPr>
            <w:r>
              <w:t xml:space="preserve">14,400,000 UZS</w:t>
            </w:r>
          </w:p>
        </w:tc>
      </w:tr>
      <w:tr>
        <w:tc>
          <w:tcPr/>
          <w:p>
            <w:pPr>
              <w:pStyle w:val="Compact"/>
              <w:jc w:val="left"/>
            </w:pPr>
            <w:r>
              <w:t xml:space="preserve">Service Surcharge (Tashkent Municipal Fee)</w:t>
            </w:r>
          </w:p>
        </w:tc>
        <w:tc>
          <w:tcPr/>
          <w:p>
            <w:pPr>
              <w:pStyle w:val="Compact"/>
              <w:jc w:val="left"/>
            </w:pPr>
            <w:r>
              <w:t xml:space="preserve">1,200,000 UZS</w:t>
            </w:r>
          </w:p>
        </w:tc>
      </w:tr>
      <w:tr>
        <w:tc>
          <w:tcPr/>
          <w:p>
            <w:pPr>
              <w:pStyle w:val="Compact"/>
              <w:jc w:val="left"/>
            </w:pPr>
            <w:r>
              <w:t xml:space="preserve">Grand Total Due</w:t>
            </w:r>
          </w:p>
        </w:tc>
        <w:tc>
          <w:tcPr/>
          <w:p>
            <w:pPr>
              <w:pStyle w:val="Compact"/>
              <w:jc w:val="left"/>
            </w:pPr>
            <w:r>
              <w:t xml:space="preserve">135,600,000 UZS</w:t>
            </w:r>
          </w:p>
        </w:tc>
      </w:tr>
    </w:tbl>
    <w:bookmarkStart w:id="23" w:name="important-notes-regarding-this-invoice"/>
    <w:p>
      <w:pPr>
        <w:pStyle w:val="Heading4"/>
      </w:pPr>
      <w:r>
        <w:t xml:space="preserve">Important Notes Regarding This Invoice</w:t>
      </w:r>
    </w:p>
    <w:p>
      <w:pPr>
        <w:pStyle w:val="FirstParagraph"/>
      </w:pPr>
      <w:r>
        <w:t xml:space="preserve">1. This Invoice is issued in accordance with the Tax Code of the Republic of Uzbekistan and the regulations governing political consulting services in Tashkent. All services rendered are subject to the Political Activities Law of Uzbekistan (Law No. ZRU-512, as amended 2023).</w:t>
      </w:r>
    </w:p>
    <w:p>
      <w:pPr>
        <w:pStyle w:val="BodyText"/>
      </w:pPr>
      <w:r>
        <w:t xml:space="preserve">2. The Politician named on this Invoice, Honorable Senator Karimov, A., has authorized this billing arrangement under the official parliamentary office budget allocation for the 2025 fiscal year. All charges are to be settled from the designated legislative office account.</w:t>
      </w:r>
    </w:p>
    <w:p>
      <w:pPr>
        <w:pStyle w:val="BodyText"/>
      </w:pPr>
      <w:r>
        <w:t xml:space="preserve">3. Payment is due within 15 calendar days of the Invoice date via bank transfer to the IBAN specified above. Late payments shall incur a penalty of 0.5% per day as stipulated in the service agreement dated 01 April 2025.</w:t>
      </w:r>
    </w:p>
    <w:p>
      <w:pPr>
        <w:pStyle w:val="BodyText"/>
      </w:pPr>
      <w:r>
        <w:t xml:space="preserve">4. All services described in this Invoice were performed exclusively within the administrative boundaries of Tashkent, Uzbekistan, and comply with local municipal regulations for political advisory operations.</w:t>
      </w:r>
    </w:p>
    <w:p>
      <w:pPr>
        <w:pStyle w:val="BodyText"/>
      </w:pPr>
      <w:r>
        <w:t xml:space="preserve">5. This Invoice must be retained by the Politician's office for a minimum of five (5) years in compliance with the State Archives Service of Uzbekistan record-keeping requirements.</w:t>
      </w:r>
    </w:p>
    <w:bookmarkEnd w:id="23"/>
    <w:bookmarkStart w:id="24" w:name="terms-and-conditions"/>
    <w:p>
      <w:pPr>
        <w:pStyle w:val="Heading4"/>
      </w:pPr>
      <w:r>
        <w:t xml:space="preserve">Terms and Conditions</w:t>
      </w:r>
    </w:p>
    <w:p>
      <w:pPr>
        <w:pStyle w:val="FirstParagraph"/>
      </w:pPr>
      <w:r>
        <w:t xml:space="preserve">By accepting this Invoice, the Politician's office acknowledges receipt of all services listed herein and agrees to the payment terms outlined above. Navoiy Political Advisory Group reserves the right to suspend ongoing services if payment is not received by the stated due date. All disputes arising from this Invoice shall be resolved under the jurisdiction of the Tashkent City Commercial Court, Republic of Uzbekistan. This document constitutes a legally binding financial record and may be presented to the Central Bank of Uzbekistan or the State Tax Committee for audit purposes.</w:t>
      </w:r>
    </w:p>
    <w:bookmarkEnd w:id="24"/>
    <w:p>
      <w:pPr>
        <w:pStyle w:val="BodyText"/>
      </w:pPr>
      <w:r>
        <w:rPr>
          <w:bCs/>
          <w:b/>
        </w:rPr>
        <w:t xml:space="preserve">Navoiy Political Advisory Group</w:t>
      </w:r>
      <w:r>
        <w:t xml:space="preserve"> </w:t>
      </w:r>
      <w:r>
        <w:t xml:space="preserve">| 14 Amir Temur Avenue, Tashkent 100011, Uzbekistan</w:t>
      </w:r>
    </w:p>
    <w:p>
      <w:pPr>
        <w:pStyle w:val="BodyText"/>
      </w:pPr>
      <w:r>
        <w:t xml:space="preserve">Tax Registration: 201548712345 | Political Consulting License: PC-2024-00892 | State Registration: 2015487123456</w:t>
      </w:r>
    </w:p>
    <w:p>
      <w:pPr>
        <w:pStyle w:val="BodyText"/>
      </w:pPr>
      <w:r>
        <w:t xml:space="preserve">This Invoice was generated electronically and is valid without a physical signature per the Electronic Document Law of the Republic of Uzbekistan (2019).</w:t>
      </w:r>
    </w:p>
    <w:p>
      <w:pPr>
        <w:pStyle w:val="BodyText"/>
      </w:pPr>
      <w:r>
        <w:t xml:space="preserve">© 2025 Navoiy Political Advisory Group. All rights reserved. Invoice UZ-TK-2025-04871.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Tashkent, Uzbekistan</dc:title>
  <dc:creator/>
  <dc:language>en</dc:language>
  <cp:keywords/>
  <dcterms:created xsi:type="dcterms:W3CDTF">2026-10-10T08:50:40Z</dcterms:created>
  <dcterms:modified xsi:type="dcterms:W3CDTF">2026-10-10T08:50:40Z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