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INVOICE</w:t>
      </w:r>
    </w:p>
    <w:p>
      <w:pPr>
        <w:pStyle w:val="BodyText"/>
      </w:pPr>
      <w:r>
        <w:t xml:space="preserve">Political Advisory &amp; Campaign Consulting Services</w:t>
      </w:r>
    </w:p>
    <w:p>
      <w:pPr>
        <w:pStyle w:val="BodyText"/>
      </w:pPr>
      <w:r>
        <w:t xml:space="preserve">OFFICIAL DOCUMENT</w:t>
      </w:r>
    </w:p>
    <w:bookmarkStart w:id="20" w:name="invoice-details"/>
    <w:p>
      <w:pPr>
        <w:pStyle w:val="Heading3"/>
      </w:pPr>
      <w:r>
        <w:t xml:space="preserve">Invoice Details</w:t>
      </w:r>
    </w:p>
    <w:p>
      <w:pPr>
        <w:pStyle w:val="FirstParagraph"/>
      </w:pPr>
      <w:r>
        <w:rPr>
          <w:bCs/>
          <w:b/>
        </w:rPr>
        <w:t xml:space="preserve">Invoice No.:</w:t>
      </w:r>
      <w:r>
        <w:t xml:space="preserve"> </w:t>
      </w:r>
      <w:r>
        <w:t xml:space="preserve">HCMC-POL-2025-04782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VND (Vietnamese Dong)</w:t>
      </w:r>
    </w:p>
    <w:p>
      <w:pPr>
        <w:pStyle w:val="BodyText"/>
      </w:pPr>
      <w:r>
        <w:rPr>
          <w:bCs/>
          <w:b/>
        </w:rPr>
        <w:t xml:space="preserve">Payment Terms:</w:t>
      </w:r>
      <w:r>
        <w:t xml:space="preserve"> </w:t>
      </w:r>
      <w:r>
        <w:t xml:space="preserve">Net 15 Days</w:t>
      </w:r>
    </w:p>
    <w:bookmarkEnd w:id="20"/>
    <w:bookmarkStart w:id="21" w:name="service-provider-bill-from"/>
    <w:p>
      <w:pPr>
        <w:pStyle w:val="Heading4"/>
      </w:pPr>
      <w:r>
        <w:t xml:space="preserve">Service Provider (Bill From)</w:t>
      </w:r>
    </w:p>
    <w:p>
      <w:pPr>
        <w:pStyle w:val="FirstParagraph"/>
      </w:pPr>
      <w:r>
        <w:rPr>
          <w:bCs/>
          <w:b/>
        </w:rPr>
        <w:t xml:space="preserve">Golden Lotus Political Consulting Co., Ltd.</w:t>
      </w:r>
    </w:p>
    <w:p>
      <w:pPr>
        <w:pStyle w:val="BodyText"/>
      </w:pPr>
      <w:r>
        <w:t xml:space="preserve">Address: 128 Nguyen Hue Boulevard, District 1,</w:t>
      </w:r>
    </w:p>
    <w:p>
      <w:pPr>
        <w:pStyle w:val="BodyText"/>
      </w:pPr>
      <w:r>
        <w:t xml:space="preserve">Vietnam Ho Chi Minh City, 700000</w:t>
      </w:r>
    </w:p>
    <w:p>
      <w:pPr>
        <w:pStyle w:val="BodyText"/>
      </w:pPr>
      <w:r>
        <w:t xml:space="preserve">Tax Code (MST): 0312345678</w:t>
      </w:r>
    </w:p>
    <w:p>
      <w:pPr>
        <w:pStyle w:val="BodyText"/>
      </w:pPr>
      <w:r>
        <w:t xml:space="preserve">Phone: +84 28 3822 4567</w:t>
      </w:r>
    </w:p>
    <w:p>
      <w:pPr>
        <w:pStyle w:val="BodyText"/>
      </w:pPr>
      <w:r>
        <w:t xml:space="preserve">Email: billing@goldenlotuspolitics.vn</w:t>
      </w:r>
    </w:p>
    <w:bookmarkEnd w:id="21"/>
    <w:bookmarkStart w:id="22" w:name="client-bill-to"/>
    <w:p>
      <w:pPr>
        <w:pStyle w:val="Heading4"/>
      </w:pPr>
      <w:r>
        <w:t xml:space="preserve">Client (Bill To)</w:t>
      </w:r>
    </w:p>
    <w:p>
      <w:pPr>
        <w:pStyle w:val="FirstParagraph"/>
      </w:pPr>
      <w:r>
        <w:rPr>
          <w:bCs/>
          <w:b/>
        </w:rPr>
        <w:t xml:space="preserve">Hon. Nguyen Van Minh</w:t>
      </w:r>
    </w:p>
    <w:p>
      <w:pPr>
        <w:pStyle w:val="BodyText"/>
      </w:pPr>
      <w:r>
        <w:t xml:space="preserve">Politician, Member of the People's Council</w:t>
      </w:r>
    </w:p>
    <w:p>
      <w:pPr>
        <w:pStyle w:val="BodyText"/>
      </w:pPr>
      <w:r>
        <w:t xml:space="preserve">Office: 45 Le Duan Street, District 3,</w:t>
      </w:r>
    </w:p>
    <w:p>
      <w:pPr>
        <w:pStyle w:val="BodyText"/>
      </w:pPr>
      <w:r>
        <w:t xml:space="preserve">Vietnam Ho Chi Minh City, 700000</w:t>
      </w:r>
    </w:p>
    <w:p>
      <w:pPr>
        <w:pStyle w:val="BodyText"/>
      </w:pPr>
      <w:r>
        <w:t xml:space="preserve">Contact: +84 91 234 5678</w:t>
      </w:r>
    </w:p>
    <w:p>
      <w:pPr>
        <w:pStyle w:val="BodyText"/>
      </w:pPr>
      <w:r>
        <w:t xml:space="preserve">Email: office.nvm@hcmc-council.gov.vn</w:t>
      </w:r>
    </w:p>
    <w:bookmarkEnd w:id="22"/>
    <w:bookmarkStart w:id="24" w:name="description-of-services-rendered"/>
    <w:p>
      <w:pPr>
        <w:pStyle w:val="Heading3"/>
      </w:pPr>
      <w:r>
        <w:t xml:space="preserve">Description of Services Rendered</w:t>
      </w:r>
    </w:p>
    <w:p>
      <w:pPr>
        <w:pStyle w:val="FirstParagraph"/>
      </w:pPr>
      <w:r>
        <w:t xml:space="preserve">This Invoice covers the professional political advisory, campaign strategy, and public engagement consulting services provided to the Politician Hon. Nguyen Van Minh during the period of January 2025 through May 2025. All services were conducted in compliance with the regulations of the Vietnam Ho Chi Minh City People's Committee and the relevant electoral and political activity laws of the Socialist Republic of Vietnam.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Strategic political advisory sessions for the Politician regarding municipal policy development in Vietnam Ho Chi Minh City</w:t>
            </w:r>
          </w:p>
        </w:tc>
        <w:tc>
          <w:tcPr/>
          <w:p>
            <w:pPr>
              <w:pStyle w:val="Compact"/>
              <w:jc w:val="left"/>
            </w:pPr>
            <w:r>
              <w:t xml:space="preserve">24 sessions</w:t>
            </w:r>
          </w:p>
        </w:tc>
        <w:tc>
          <w:tcPr/>
          <w:p>
            <w:pPr>
              <w:pStyle w:val="Compact"/>
              <w:jc w:val="left"/>
            </w:pPr>
            <w:r>
              <w:t xml:space="preserve">8,500,000</w:t>
            </w:r>
          </w:p>
        </w:tc>
        <w:tc>
          <w:tcPr/>
          <w:p>
            <w:pPr>
              <w:pStyle w:val="Compact"/>
              <w:jc w:val="left"/>
            </w:pPr>
            <w:r>
              <w:t xml:space="preserve">204,000,000</w:t>
            </w:r>
          </w:p>
        </w:tc>
      </w:tr>
      <w:tr>
        <w:tc>
          <w:tcPr/>
          <w:p>
            <w:pPr>
              <w:pStyle w:val="Compact"/>
              <w:jc w:val="left"/>
            </w:pPr>
            <w:r>
              <w:t xml:space="preserve">02</w:t>
            </w:r>
          </w:p>
        </w:tc>
        <w:tc>
          <w:tcPr/>
          <w:p>
            <w:pPr>
              <w:pStyle w:val="Compact"/>
              <w:jc w:val="left"/>
            </w:pPr>
            <w:r>
              <w:t xml:space="preserve">Campaign messaging and public communication strategy development for the Politician's constituency outreach program</w:t>
            </w:r>
          </w:p>
        </w:tc>
        <w:tc>
          <w:tcPr/>
          <w:p>
            <w:pPr>
              <w:pStyle w:val="Compact"/>
              <w:jc w:val="left"/>
            </w:pPr>
            <w:r>
              <w:t xml:space="preserve">1 project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03</w:t>
            </w:r>
          </w:p>
        </w:tc>
        <w:tc>
          <w:tcPr/>
          <w:p>
            <w:pPr>
              <w:pStyle w:val="Compact"/>
              <w:jc w:val="left"/>
            </w:pPr>
            <w:r>
              <w:t xml:space="preserve">Public opinion research and polling analysis for the Politician across 5 districts of Vietnam Ho Chi Minh City</w:t>
            </w:r>
          </w:p>
        </w:tc>
        <w:tc>
          <w:tcPr/>
          <w:p>
            <w:pPr>
              <w:pStyle w:val="Compact"/>
              <w:jc w:val="left"/>
            </w:pPr>
            <w:r>
              <w:t xml:space="preserve">5 reports</w:t>
            </w:r>
          </w:p>
        </w:tc>
        <w:tc>
          <w:tcPr/>
          <w:p>
            <w:pPr>
              <w:pStyle w:val="Compact"/>
              <w:jc w:val="left"/>
            </w:pPr>
            <w:r>
              <w:t xml:space="preserve">15,000,000</w:t>
            </w:r>
          </w:p>
        </w:tc>
        <w:tc>
          <w:tcPr/>
          <w:p>
            <w:pPr>
              <w:pStyle w:val="Compact"/>
              <w:jc w:val="left"/>
            </w:pPr>
            <w:r>
              <w:t xml:space="preserve">75,000,000</w:t>
            </w:r>
          </w:p>
        </w:tc>
      </w:tr>
      <w:tr>
        <w:tc>
          <w:tcPr/>
          <w:p>
            <w:pPr>
              <w:pStyle w:val="Compact"/>
              <w:jc w:val="left"/>
            </w:pPr>
            <w:r>
              <w:t xml:space="preserve">04</w:t>
            </w:r>
          </w:p>
        </w:tc>
        <w:tc>
          <w:tcPr/>
          <w:p>
            <w:pPr>
              <w:pStyle w:val="Compact"/>
              <w:jc w:val="left"/>
            </w:pPr>
            <w:r>
              <w:t xml:space="preserve">Media relations and press conference coordination services for the Politician's public appearances</w:t>
            </w:r>
          </w:p>
        </w:tc>
        <w:tc>
          <w:tcPr/>
          <w:p>
            <w:pPr>
              <w:pStyle w:val="Compact"/>
              <w:jc w:val="left"/>
            </w:pPr>
            <w:r>
              <w:t xml:space="preserve">12 events</w:t>
            </w:r>
          </w:p>
        </w:tc>
        <w:tc>
          <w:tcPr/>
          <w:p>
            <w:pPr>
              <w:pStyle w:val="Compact"/>
              <w:jc w:val="left"/>
            </w:pPr>
            <w:r>
              <w:t xml:space="preserve">6,200,000</w:t>
            </w:r>
          </w:p>
        </w:tc>
        <w:tc>
          <w:tcPr/>
          <w:p>
            <w:pPr>
              <w:pStyle w:val="Compact"/>
              <w:jc w:val="left"/>
            </w:pPr>
            <w:r>
              <w:t xml:space="preserve">74,400,000</w:t>
            </w:r>
          </w:p>
        </w:tc>
      </w:tr>
      <w:tr>
        <w:tc>
          <w:tcPr/>
          <w:p>
            <w:pPr>
              <w:pStyle w:val="Compact"/>
              <w:jc w:val="left"/>
            </w:pPr>
            <w:r>
              <w:t xml:space="preserve">05</w:t>
            </w:r>
          </w:p>
        </w:tc>
        <w:tc>
          <w:tcPr/>
          <w:p>
            <w:pPr>
              <w:pStyle w:val="Compact"/>
              <w:jc w:val="left"/>
            </w:pPr>
            <w:r>
              <w:t xml:space="preserve">Legislative briefing preparation and policy white paper drafting for the Politician's committee assignments</w:t>
            </w:r>
          </w:p>
        </w:tc>
        <w:tc>
          <w:tcPr/>
          <w:p>
            <w:pPr>
              <w:pStyle w:val="Compact"/>
              <w:jc w:val="left"/>
            </w:pPr>
            <w:r>
              <w:t xml:space="preserve">8 documents</w:t>
            </w:r>
          </w:p>
        </w:tc>
        <w:tc>
          <w:tcPr/>
          <w:p>
            <w:pPr>
              <w:pStyle w:val="Compact"/>
              <w:jc w:val="left"/>
            </w:pPr>
            <w:r>
              <w:t xml:space="preserve">9,800,000</w:t>
            </w:r>
          </w:p>
        </w:tc>
        <w:tc>
          <w:tcPr/>
          <w:p>
            <w:pPr>
              <w:pStyle w:val="Compact"/>
              <w:jc w:val="left"/>
            </w:pPr>
            <w:r>
              <w:t xml:space="preserve">78,400,000</w:t>
            </w:r>
          </w:p>
        </w:tc>
      </w:tr>
      <w:tr>
        <w:tc>
          <w:tcPr/>
          <w:p>
            <w:pPr>
              <w:pStyle w:val="Compact"/>
              <w:jc w:val="left"/>
            </w:pPr>
            <w:r>
              <w:t xml:space="preserve">06</w:t>
            </w:r>
          </w:p>
        </w:tc>
        <w:tc>
          <w:tcPr/>
          <w:p>
            <w:pPr>
              <w:pStyle w:val="Compact"/>
              <w:jc w:val="left"/>
            </w:pPr>
            <w:r>
              <w:t xml:space="preserve">Community engagement event planning and execution in Vietnam Ho Chi Minh City residential wards</w:t>
            </w:r>
          </w:p>
        </w:tc>
        <w:tc>
          <w:tcPr/>
          <w:p>
            <w:pPr>
              <w:pStyle w:val="Compact"/>
              <w:jc w:val="left"/>
            </w:pPr>
            <w:r>
              <w:t xml:space="preserve">6 events</w:t>
            </w:r>
          </w:p>
        </w:tc>
        <w:tc>
          <w:tcPr/>
          <w:p>
            <w:pPr>
              <w:pStyle w:val="Compact"/>
              <w:jc w:val="left"/>
            </w:pPr>
            <w:r>
              <w:t xml:space="preserve">18,000,000</w:t>
            </w:r>
          </w:p>
        </w:tc>
        <w:tc>
          <w:tcPr/>
          <w:p>
            <w:pPr>
              <w:pStyle w:val="Compact"/>
              <w:jc w:val="left"/>
            </w:pPr>
            <w:r>
              <w:t xml:space="preserve">108,000,000</w:t>
            </w:r>
          </w:p>
        </w:tc>
      </w:tr>
      <w:tr>
        <w:tc>
          <w:tcPr/>
          <w:p>
            <w:pPr>
              <w:pStyle w:val="Compact"/>
              <w:jc w:val="left"/>
            </w:pPr>
            <w:r>
              <w:t xml:space="preserve">07</w:t>
            </w:r>
          </w:p>
        </w:tc>
        <w:tc>
          <w:tcPr/>
          <w:p>
            <w:pPr>
              <w:pStyle w:val="Compact"/>
              <w:jc w:val="left"/>
            </w:pPr>
            <w:r>
              <w:t xml:space="preserve">Digital presence management and social media strategy for the Politician's official public channels</w:t>
            </w:r>
          </w:p>
        </w:tc>
        <w:tc>
          <w:tcPr/>
          <w:p>
            <w:pPr>
              <w:pStyle w:val="Compact"/>
              <w:jc w:val="left"/>
            </w:pPr>
            <w:r>
              <w:t xml:space="preserve">5 months</w:t>
            </w:r>
          </w:p>
        </w:tc>
        <w:tc>
          <w:tcPr/>
          <w:p>
            <w:pPr>
              <w:pStyle w:val="Compact"/>
              <w:jc w:val="left"/>
            </w:pPr>
            <w:r>
              <w:t xml:space="preserve">12,500,000</w:t>
            </w:r>
          </w:p>
        </w:tc>
        <w:tc>
          <w:tcPr/>
          <w:p>
            <w:pPr>
              <w:pStyle w:val="Compact"/>
              <w:jc w:val="left"/>
            </w:pPr>
            <w:r>
              <w:t xml:space="preserve">62,500,000</w:t>
            </w:r>
          </w:p>
        </w:tc>
      </w:tr>
      <w:tr>
        <w:tc>
          <w:tcPr/>
          <w:p>
            <w:pPr>
              <w:pStyle w:val="Compact"/>
              <w:jc w:val="left"/>
            </w:pPr>
            <w:r>
              <w:t xml:space="preserve">08</w:t>
            </w:r>
          </w:p>
        </w:tc>
        <w:tc>
          <w:tcPr/>
          <w:p>
            <w:pPr>
              <w:pStyle w:val="Compact"/>
              <w:jc w:val="left"/>
            </w:pPr>
            <w:r>
              <w:t xml:space="preserve">Inter-party liaison coordination and inter-municipal political dialogue facilitation</w:t>
            </w:r>
          </w:p>
        </w:tc>
        <w:tc>
          <w:tcPr/>
          <w:p>
            <w:pPr>
              <w:pStyle w:val="Compact"/>
              <w:jc w:val="left"/>
            </w:pPr>
            <w:r>
              <w:t xml:space="preserve">4 sessions</w:t>
            </w:r>
          </w:p>
        </w:tc>
        <w:tc>
          <w:tcPr/>
          <w:p>
            <w:pPr>
              <w:pStyle w:val="Compact"/>
              <w:jc w:val="left"/>
            </w:pPr>
            <w:r>
              <w:t xml:space="preserve">11,000,000</w:t>
            </w:r>
          </w:p>
        </w:tc>
        <w:tc>
          <w:tcPr/>
          <w:p>
            <w:pPr>
              <w:pStyle w:val="Compact"/>
              <w:jc w:val="left"/>
            </w:pPr>
            <w:r>
              <w:t xml:space="preserve">44,000,000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766,300,000 VND</w:t>
            </w:r>
          </w:p>
        </w:tc>
      </w:tr>
      <w:tr>
        <w:tc>
          <w:tcPr/>
          <w:p>
            <w:pPr>
              <w:pStyle w:val="Compact"/>
              <w:jc w:val="left"/>
            </w:pPr>
            <w:r>
              <w:t xml:space="preserve">VAT (10%)</w:t>
            </w:r>
          </w:p>
        </w:tc>
        <w:tc>
          <w:tcPr/>
          <w:p>
            <w:pPr>
              <w:pStyle w:val="Compact"/>
              <w:jc w:val="right"/>
            </w:pPr>
            <w:r>
              <w:t xml:space="preserve">76,630,000 VND</w:t>
            </w:r>
          </w:p>
        </w:tc>
      </w:tr>
      <w:tr>
        <w:tc>
          <w:tcPr/>
          <w:p>
            <w:pPr>
              <w:pStyle w:val="Compact"/>
              <w:jc w:val="left"/>
            </w:pPr>
            <w:r>
              <w:t xml:space="preserve">Service Fee Surcharge (2%)</w:t>
            </w:r>
          </w:p>
        </w:tc>
        <w:tc>
          <w:tcPr/>
          <w:p>
            <w:pPr>
              <w:pStyle w:val="Compact"/>
              <w:jc w:val="right"/>
            </w:pPr>
            <w:r>
              <w:t xml:space="preserve">15,326,000 VND</w:t>
            </w:r>
          </w:p>
        </w:tc>
      </w:tr>
      <w:tr>
        <w:tc>
          <w:tcPr/>
          <w:p>
            <w:pPr>
              <w:pStyle w:val="Compact"/>
              <w:jc w:val="left"/>
            </w:pPr>
            <w:r>
              <w:t xml:space="preserve">Discount (Early Payment 3%)</w:t>
            </w:r>
          </w:p>
        </w:tc>
        <w:tc>
          <w:tcPr/>
          <w:p>
            <w:pPr>
              <w:pStyle w:val="Compact"/>
              <w:jc w:val="right"/>
            </w:pPr>
            <w:r>
              <w:t xml:space="preserve">-22,989,000 VND</w:t>
            </w:r>
          </w:p>
        </w:tc>
      </w:tr>
      <w:tr>
        <w:tc>
          <w:tcPr/>
          <w:p>
            <w:pPr>
              <w:pStyle w:val="Compact"/>
              <w:jc w:val="left"/>
            </w:pPr>
            <w:r>
              <w:t xml:space="preserve">TOTAL AMOUNT DUE</w:t>
            </w:r>
          </w:p>
        </w:tc>
        <w:tc>
          <w:tcPr/>
          <w:p>
            <w:pPr>
              <w:pStyle w:val="Compact"/>
              <w:jc w:val="right"/>
            </w:pPr>
            <w:r>
              <w:t xml:space="preserve">835,267,000 VND</w:t>
            </w:r>
          </w:p>
        </w:tc>
      </w:tr>
    </w:tbl>
    <w:bookmarkStart w:id="23" w:name="important-notes-payment-instructions"/>
    <w:p>
      <w:pPr>
        <w:pStyle w:val="Heading4"/>
      </w:pPr>
      <w:r>
        <w:t xml:space="preserve">Important Notes &amp; Payment Instructions</w:t>
      </w:r>
    </w:p>
    <w:p>
      <w:pPr>
        <w:pStyle w:val="FirstParagraph"/>
      </w:pPr>
      <w:r>
        <w:rPr>
          <w:bCs/>
          <w:b/>
        </w:rPr>
        <w:t xml:space="preserve">1.</w:t>
      </w:r>
      <w:r>
        <w:t xml:space="preserve"> </w:t>
      </w:r>
      <w:r>
        <w:t xml:space="preserve">This Invoice is issued in accordance with the Vietnamese Accounting Law and the regulations governing political activity financing in Vietnam Ho Chi Minh City. All services rendered to the Politician have been documented and are subject to audit by the relevant municipal oversight body.</w:t>
      </w:r>
    </w:p>
    <w:p>
      <w:pPr>
        <w:pStyle w:val="BodyText"/>
      </w:pPr>
      <w:r>
        <w:rPr>
          <w:bCs/>
          <w:b/>
        </w:rPr>
        <w:t xml:space="preserve">2.</w:t>
      </w:r>
      <w:r>
        <w:t xml:space="preserve"> </w:t>
      </w:r>
      <w:r>
        <w:t xml:space="preserve">Payment for this Invoice shall be made via bank transfer to: Golden Lotus Political Consulting Co., Ltd., Account No. 0123456789, Vietcombank, HCMC Branch, Vietnam Ho Chi Minh City. Please reference Invoice No. HCMC-POL-2025-04782 in your payment remittance.</w:t>
      </w:r>
    </w:p>
    <w:p>
      <w:pPr>
        <w:pStyle w:val="BodyText"/>
      </w:pPr>
      <w:r>
        <w:rPr>
          <w:bCs/>
          <w:b/>
        </w:rPr>
        <w:t xml:space="preserve">3.</w:t>
      </w:r>
      <w:r>
        <w:t xml:space="preserve"> </w:t>
      </w:r>
      <w:r>
        <w:t xml:space="preserve">The Politician's office is requested to confirm receipt of this Invoice within five (5) business days. Any disputes regarding the scope of services or billing amounts must be submitted in writing to the billing department no later than ten (10) days from the date of issue.</w:t>
      </w:r>
    </w:p>
    <w:p>
      <w:pPr>
        <w:pStyle w:val="BodyText"/>
      </w:pPr>
      <w:r>
        <w:rPr>
          <w:bCs/>
          <w:b/>
        </w:rPr>
        <w:t xml:space="preserve">4.</w:t>
      </w:r>
      <w:r>
        <w:t xml:space="preserve"> </w:t>
      </w:r>
      <w:r>
        <w:t xml:space="preserve">All political consulting services described in this Invoice were performed in full compliance with the Law on Election of Deputies to the National Assembly and People's Councils, as well as the local ordinances of Vietnam Ho Chi Minh City regarding political activity and public funding transparency.</w:t>
      </w:r>
    </w:p>
    <w:p>
      <w:pPr>
        <w:pStyle w:val="BodyText"/>
      </w:pPr>
      <w:r>
        <w:rPr>
          <w:bCs/>
          <w:b/>
        </w:rPr>
        <w:t xml:space="preserve">5.</w:t>
      </w:r>
      <w:r>
        <w:t xml:space="preserve"> </w:t>
      </w:r>
      <w:r>
        <w:t xml:space="preserve">This Invoice constitutes a final settlement for the services period of January 2025 through May 2025. No further charges will be applied for this period. Subsequent services will be invoiced separately.</w:t>
      </w:r>
    </w:p>
    <w:bookmarkEnd w:id="23"/>
    <w:p>
      <w:pPr>
        <w:pStyle w:val="BodyText"/>
      </w:pPr>
      <w:r>
        <w:rPr>
          <w:bCs/>
          <w:b/>
        </w:rPr>
        <w:t xml:space="preserve">Golden Lotus Political Consulting Co., Ltd.</w:t>
      </w:r>
      <w:r>
        <w:t xml:space="preserve"> </w:t>
      </w:r>
      <w:r>
        <w:t xml:space="preserve">| 128 Nguyen Hue Boulevard, District 1, Vietnam Ho Chi Minh City, 700000</w:t>
      </w:r>
    </w:p>
    <w:p>
      <w:pPr>
        <w:pStyle w:val="BodyText"/>
      </w:pPr>
      <w:r>
        <w:t xml:space="preserve">Tax Code: 0312345678 | Registration: Department of Planning and Investment, Vietnam Ho Chi Minh City</w:t>
      </w:r>
    </w:p>
    <w:p>
      <w:pPr>
        <w:pStyle w:val="BodyText"/>
      </w:pPr>
      <w:r>
        <w:t xml:space="preserve">This Invoice was generated electronically and is valid without a physical signature. For verification, contact billing@goldenlotuspolitics.vn or +84 28 3822 4567.</w:t>
      </w:r>
    </w:p>
    <w:p>
      <w:pPr>
        <w:pStyle w:val="BodyText"/>
      </w:pPr>
      <w:r>
        <w:t xml:space="preserve">© 2025 Golden Lotus Political Consulting Co., Ltd. All rights reserved. Document Reference: HCMC-POL-2025-04782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Vietnam Ho Chi Minh City</dc:title>
  <dc:creator/>
  <dc:language>en</dc:language>
  <cp:keywords/>
  <dcterms:created xsi:type="dcterms:W3CDTF">2026-10-10T08:14:23Z</dcterms:created>
  <dcterms:modified xsi:type="dcterms:W3CDTF">2026-10-10T08:14:23Z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