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Academic</w:t>
      </w:r>
      <w:r>
        <w:t xml:space="preserve"> </w:t>
      </w:r>
      <w:r>
        <w:t xml:space="preserve">Services</w:t>
      </w:r>
      <w:r>
        <w:t xml:space="preserve"> </w:t>
      </w:r>
      <w:r>
        <w:t xml:space="preserve">-</w:t>
      </w:r>
      <w:r>
        <w:t xml:space="preserve"> </w:t>
      </w:r>
      <w:r>
        <w:t xml:space="preserve">Brussels,</w:t>
      </w:r>
      <w:r>
        <w:t xml:space="preserve"> </w:t>
      </w:r>
      <w:r>
        <w:t xml:space="preserve">Belgium</w:t>
      </w:r>
    </w:p>
    <w:p>
      <w:pPr>
        <w:pStyle w:val="FirstParagraph"/>
      </w:pPr>
      <w:r>
        <w:t xml:space="preserve">INVOICE</w:t>
      </w:r>
    </w:p>
    <w:p>
      <w:pPr>
        <w:pStyle w:val="BodyText"/>
      </w:pPr>
      <w:r>
        <w:t xml:space="preserve">Academic &amp; Professional Services</w:t>
      </w:r>
    </w:p>
    <w:p>
      <w:pPr>
        <w:pStyle w:val="BodyText"/>
      </w:pPr>
      <w:r>
        <w:t xml:space="preserve">VAT Registered – Belgium</w:t>
      </w:r>
    </w:p>
    <w:p>
      <w:pPr>
        <w:pStyle w:val="BodyText"/>
      </w:pPr>
      <w:r>
        <w:rPr>
          <w:bCs/>
          <w:b/>
        </w:rPr>
        <w:t xml:space="preserve">Invoice No.:</w:t>
      </w:r>
      <w:r>
        <w:t xml:space="preserve"> </w:t>
      </w:r>
      <w:r>
        <w:t xml:space="preserve">INV-2025-BRU-0472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 (30 days)</w:t>
      </w:r>
    </w:p>
    <w:p>
      <w:pPr>
        <w:pStyle w:val="BodyText"/>
      </w:pPr>
      <w:r>
        <w:rPr>
          <w:bCs/>
          <w:b/>
        </w:rPr>
        <w:t xml:space="preserve">Place of Issue:</w:t>
      </w:r>
      <w:r>
        <w:t xml:space="preserve"> </w:t>
      </w:r>
      <w:r>
        <w:t xml:space="preserve">Brussels, Belgium</w:t>
      </w:r>
    </w:p>
    <w:p>
      <w:pPr>
        <w:pStyle w:val="BodyText"/>
      </w:pPr>
      <w:r>
        <w:rPr>
          <w:bCs/>
          <w:b/>
        </w:rPr>
        <w:t xml:space="preserve">Reference:</w:t>
      </w:r>
      <w:r>
        <w:t xml:space="preserve"> </w:t>
      </w:r>
      <w:r>
        <w:t xml:space="preserve">PRF-ACD-2025-0891</w:t>
      </w:r>
    </w:p>
    <w:bookmarkStart w:id="20" w:name="issued-by-professor"/>
    <w:p>
      <w:pPr>
        <w:pStyle w:val="Heading3"/>
      </w:pPr>
      <w:r>
        <w:t xml:space="preserve">Issued By (Professor)</w:t>
      </w:r>
    </w:p>
    <w:p>
      <w:pPr>
        <w:pStyle w:val="FirstParagraph"/>
      </w:pPr>
      <w:r>
        <w:rPr>
          <w:bCs/>
          <w:b/>
        </w:rPr>
        <w:t xml:space="preserve">Prof. Dr. Hendrik Van den Berghe</w:t>
      </w:r>
    </w:p>
    <w:p>
      <w:pPr>
        <w:pStyle w:val="BodyText"/>
      </w:pPr>
      <w:r>
        <w:t xml:space="preserve">Chair of European Economic Policy</w:t>
      </w:r>
    </w:p>
    <w:p>
      <w:pPr>
        <w:pStyle w:val="BodyText"/>
      </w:pPr>
      <w:r>
        <w:t xml:space="preserve">Vrije Universiteit Brussel (VUB)</w:t>
      </w:r>
    </w:p>
    <w:p>
      <w:pPr>
        <w:pStyle w:val="BodyText"/>
      </w:pPr>
      <w:r>
        <w:t xml:space="preserve">Laarbeeklaan 2, 1090 Jette</w:t>
      </w:r>
    </w:p>
    <w:p>
      <w:pPr>
        <w:pStyle w:val="BodyText"/>
      </w:pPr>
      <w:r>
        <w:t xml:space="preserve">Brussels, Belgium</w:t>
      </w:r>
    </w:p>
    <w:p>
      <w:pPr>
        <w:pStyle w:val="BodyText"/>
      </w:pPr>
      <w:r>
        <w:rPr>
          <w:bCs/>
          <w:b/>
        </w:rPr>
        <w:t xml:space="preserve">BE VAT No.:</w:t>
      </w:r>
      <w:r>
        <w:t xml:space="preserve"> </w:t>
      </w:r>
      <w:r>
        <w:t xml:space="preserve">BE 0765.432.109</w:t>
      </w:r>
    </w:p>
    <w:p>
      <w:pPr>
        <w:pStyle w:val="BodyText"/>
      </w:pPr>
      <w:r>
        <w:rPr>
          <w:bCs/>
          <w:b/>
        </w:rPr>
        <w:t xml:space="preserve">BE Enterprise No.:</w:t>
      </w:r>
      <w:r>
        <w:t xml:space="preserve"> </w:t>
      </w:r>
      <w:r>
        <w:t xml:space="preserve">BE 0765.432.109</w:t>
      </w:r>
    </w:p>
    <w:p>
      <w:pPr>
        <w:pStyle w:val="BodyText"/>
      </w:pPr>
      <w:r>
        <w:rPr>
          <w:bCs/>
          <w:b/>
        </w:rPr>
        <w:t xml:space="preserve">IBAN:</w:t>
      </w:r>
      <w:r>
        <w:t xml:space="preserve"> </w:t>
      </w:r>
      <w:r>
        <w:t xml:space="preserve">BE68 5390 0754 7034</w:t>
      </w:r>
    </w:p>
    <w:p>
      <w:pPr>
        <w:pStyle w:val="BodyText"/>
      </w:pPr>
      <w:r>
        <w:rPr>
          <w:bCs/>
          <w:b/>
        </w:rPr>
        <w:t xml:space="preserve">BIC:</w:t>
      </w:r>
      <w:r>
        <w:t xml:space="preserve"> </w:t>
      </w:r>
      <w:r>
        <w:t xml:space="preserve">BBRUBEBB</w:t>
      </w:r>
    </w:p>
    <w:p>
      <w:pPr>
        <w:pStyle w:val="BodyText"/>
      </w:pPr>
      <w:r>
        <w:rPr>
          <w:bCs/>
          <w:b/>
        </w:rPr>
        <w:t xml:space="preserve">Email:</w:t>
      </w:r>
      <w:r>
        <w:t xml:space="preserve"> </w:t>
      </w:r>
      <w:r>
        <w:t xml:space="preserve">h.vandenberghe@vub.be</w:t>
      </w:r>
    </w:p>
    <w:bookmarkEnd w:id="20"/>
    <w:bookmarkStart w:id="21" w:name="bill-to-client"/>
    <w:p>
      <w:pPr>
        <w:pStyle w:val="Heading3"/>
      </w:pPr>
      <w:r>
        <w:t xml:space="preserve">Bill To (Client)</w:t>
      </w:r>
    </w:p>
    <w:p>
      <w:pPr>
        <w:pStyle w:val="FirstParagraph"/>
      </w:pPr>
      <w:r>
        <w:rPr>
          <w:bCs/>
          <w:b/>
        </w:rPr>
        <w:t xml:space="preserve">European Policy Research Institute</w:t>
      </w:r>
    </w:p>
    <w:p>
      <w:pPr>
        <w:pStyle w:val="BodyText"/>
      </w:pPr>
      <w:r>
        <w:t xml:space="preserve">Attn: Dr. Marie-Louise De Smet, Director</w:t>
      </w:r>
    </w:p>
    <w:p>
      <w:pPr>
        <w:pStyle w:val="BodyText"/>
      </w:pPr>
      <w:r>
        <w:t xml:space="preserve">Rue de la Loi / Wetstraat 165</w:t>
      </w:r>
    </w:p>
    <w:p>
      <w:pPr>
        <w:pStyle w:val="BodyText"/>
      </w:pPr>
      <w:r>
        <w:t xml:space="preserve">1040 Brussels</w:t>
      </w:r>
    </w:p>
    <w:p>
      <w:pPr>
        <w:pStyle w:val="BodyText"/>
      </w:pPr>
      <w:r>
        <w:t xml:space="preserve">Belgium</w:t>
      </w:r>
    </w:p>
    <w:p>
      <w:pPr>
        <w:pStyle w:val="BodyText"/>
      </w:pPr>
      <w:r>
        <w:rPr>
          <w:bCs/>
          <w:b/>
        </w:rPr>
        <w:t xml:space="preserve">BE VAT No.:</w:t>
      </w:r>
      <w:r>
        <w:t xml:space="preserve"> </w:t>
      </w:r>
      <w:r>
        <w:t xml:space="preserve">BE 0412.876.543</w:t>
      </w:r>
    </w:p>
    <w:p>
      <w:pPr>
        <w:pStyle w:val="BodyText"/>
      </w:pPr>
      <w:r>
        <w:rPr>
          <w:bCs/>
          <w:b/>
        </w:rPr>
        <w:t xml:space="preserve">BE Enterprise No.:</w:t>
      </w:r>
      <w:r>
        <w:t xml:space="preserve"> </w:t>
      </w:r>
      <w:r>
        <w:t xml:space="preserve">BE 0412.876.543</w:t>
      </w:r>
    </w:p>
    <w:bookmarkEnd w:id="21"/>
    <w:bookmarkStart w:id="24" w:name="Xeeba201c8199719f4f69f886388fca641d48e54"/>
    <w:p>
      <w:pPr>
        <w:pStyle w:val="Heading2"/>
      </w:pPr>
      <w:r>
        <w:t xml:space="preserve">Description of Professional Academic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Professorial consultancy on EU fiscal harmonisation frameworks; preparation of expert memorandum for the Institute's annual policy briefing on cross-border taxation within the Brussels metropolitan region.</w:t>
            </w:r>
          </w:p>
        </w:tc>
        <w:tc>
          <w:tcPr/>
          <w:p>
            <w:pPr>
              <w:pStyle w:val="Compact"/>
              <w:jc w:val="left"/>
            </w:pPr>
            <w:r>
              <w:t xml:space="preserve">Jan – Mar 2025</w:t>
            </w:r>
          </w:p>
        </w:tc>
        <w:tc>
          <w:tcPr/>
          <w:p>
            <w:pPr>
              <w:pStyle w:val="Compact"/>
              <w:jc w:val="left"/>
            </w:pPr>
            <w:r>
              <w:t xml:space="preserve">48</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02</w:t>
            </w:r>
          </w:p>
        </w:tc>
        <w:tc>
          <w:tcPr/>
          <w:p>
            <w:pPr>
              <w:pStyle w:val="Compact"/>
              <w:jc w:val="left"/>
            </w:pPr>
            <w:r>
              <w:t xml:space="preserve">Delivery of a series of six (6) advanced seminars on macroeconomic governance for the Institute's executive leadership programme, held at the Brussels headquarters. Includes curriculum design, lecture delivery, and post-session Q&amp;A facilitation.</w:t>
            </w:r>
          </w:p>
        </w:tc>
        <w:tc>
          <w:tcPr/>
          <w:p>
            <w:pPr>
              <w:pStyle w:val="Compact"/>
              <w:jc w:val="left"/>
            </w:pPr>
            <w:r>
              <w:t xml:space="preserve">Feb – Apr 2025</w:t>
            </w:r>
          </w:p>
        </w:tc>
        <w:tc>
          <w:tcPr/>
          <w:p>
            <w:pPr>
              <w:pStyle w:val="Compact"/>
              <w:jc w:val="left"/>
            </w:pPr>
            <w:r>
              <w:t xml:space="preserve">36</w:t>
            </w:r>
          </w:p>
        </w:tc>
        <w:tc>
          <w:tcPr/>
          <w:p>
            <w:pPr>
              <w:pStyle w:val="Compact"/>
              <w:jc w:val="left"/>
            </w:pPr>
            <w:r>
              <w:t xml:space="preserve">€210.00</w:t>
            </w:r>
          </w:p>
        </w:tc>
        <w:tc>
          <w:tcPr/>
          <w:p>
            <w:pPr>
              <w:pStyle w:val="Compact"/>
              <w:jc w:val="left"/>
            </w:pPr>
            <w:r>
              <w:t xml:space="preserve">€7,560.00</w:t>
            </w:r>
          </w:p>
        </w:tc>
      </w:tr>
      <w:tr>
        <w:tc>
          <w:tcPr/>
          <w:p>
            <w:pPr>
              <w:pStyle w:val="Compact"/>
              <w:jc w:val="left"/>
            </w:pPr>
            <w:r>
              <w:t xml:space="preserve">03</w:t>
            </w:r>
          </w:p>
        </w:tc>
        <w:tc>
          <w:tcPr/>
          <w:p>
            <w:pPr>
              <w:pStyle w:val="Compact"/>
              <w:jc w:val="left"/>
            </w:pPr>
            <w:r>
              <w:t xml:space="preserve">Peer review and editorial supervision of the Institute's quarterly publication</w:t>
            </w:r>
            <w:r>
              <w:t xml:space="preserve"> </w:t>
            </w:r>
            <w:r>
              <w:rPr>
                <w:iCs/>
                <w:i/>
              </w:rPr>
              <w:t xml:space="preserve">Brussels Economic Perspectives</w:t>
            </w:r>
            <w:r>
              <w:t xml:space="preserve">, Volume 12, Issues 1–2. Professor provided substantive academic critique, structural recommendations, and final proofreading of 14 contributed articles.</w:t>
            </w:r>
          </w:p>
        </w:tc>
        <w:tc>
          <w:tcPr/>
          <w:p>
            <w:pPr>
              <w:pStyle w:val="Compact"/>
              <w:jc w:val="left"/>
            </w:pPr>
            <w:r>
              <w:t xml:space="preserve">Mar – May 2025</w:t>
            </w:r>
          </w:p>
        </w:tc>
        <w:tc>
          <w:tcPr/>
          <w:p>
            <w:pPr>
              <w:pStyle w:val="Compact"/>
              <w:jc w:val="left"/>
            </w:pPr>
            <w:r>
              <w:t xml:space="preserve">24</w:t>
            </w:r>
          </w:p>
        </w:tc>
        <w:tc>
          <w:tcPr/>
          <w:p>
            <w:pPr>
              <w:pStyle w:val="Compact"/>
              <w:jc w:val="left"/>
            </w:pPr>
            <w:r>
              <w:t xml:space="preserve">€165.00</w:t>
            </w:r>
          </w:p>
        </w:tc>
        <w:tc>
          <w:tcPr/>
          <w:p>
            <w:pPr>
              <w:pStyle w:val="Compact"/>
              <w:jc w:val="left"/>
            </w:pPr>
            <w:r>
              <w:t xml:space="preserve">€3,960.00</w:t>
            </w:r>
          </w:p>
        </w:tc>
      </w:tr>
      <w:tr>
        <w:tc>
          <w:tcPr/>
          <w:p>
            <w:pPr>
              <w:pStyle w:val="Compact"/>
              <w:jc w:val="left"/>
            </w:pPr>
            <w:r>
              <w:t xml:space="preserve">04</w:t>
            </w:r>
          </w:p>
        </w:tc>
        <w:tc>
          <w:tcPr/>
          <w:p>
            <w:pPr>
              <w:pStyle w:val="Compact"/>
              <w:jc w:val="left"/>
            </w:pPr>
            <w:r>
              <w:t xml:space="preserve">Keynote address and panel moderation at the "Future of European Public Finance" conference organised by the Institute in Brussels, 22–23 May 2025. Includes travel within the Brussels-Capital Region, preparation of keynote materials, and a 90-minute post-conference workshop for junior researchers.</w:t>
            </w:r>
          </w:p>
        </w:tc>
        <w:tc>
          <w:tcPr/>
          <w:p>
            <w:pPr>
              <w:pStyle w:val="Compact"/>
              <w:jc w:val="left"/>
            </w:pPr>
            <w:r>
              <w:t xml:space="preserve">May 2025</w:t>
            </w:r>
          </w:p>
        </w:tc>
        <w:tc>
          <w:tcPr/>
          <w:p>
            <w:pPr>
              <w:pStyle w:val="Compact"/>
              <w:jc w:val="left"/>
            </w:pPr>
            <w:r>
              <w:t xml:space="preserve">18</w:t>
            </w:r>
          </w:p>
        </w:tc>
        <w:tc>
          <w:tcPr/>
          <w:p>
            <w:pPr>
              <w:pStyle w:val="Compact"/>
              <w:jc w:val="left"/>
            </w:pPr>
            <w:r>
              <w:t xml:space="preserve">€220.00</w:t>
            </w:r>
          </w:p>
        </w:tc>
        <w:tc>
          <w:tcPr/>
          <w:p>
            <w:pPr>
              <w:pStyle w:val="Compact"/>
              <w:jc w:val="left"/>
            </w:pPr>
            <w:r>
              <w:t xml:space="preserve">€3,960.00</w:t>
            </w:r>
          </w:p>
        </w:tc>
      </w:tr>
      <w:tr>
        <w:tc>
          <w:tcPr/>
          <w:p>
            <w:pPr>
              <w:pStyle w:val="Compact"/>
              <w:jc w:val="left"/>
            </w:pPr>
            <w:r>
              <w:t xml:space="preserve">05</w:t>
            </w:r>
          </w:p>
        </w:tc>
        <w:tc>
          <w:tcPr/>
          <w:p>
            <w:pPr>
              <w:pStyle w:val="Compact"/>
              <w:jc w:val="left"/>
            </w:pPr>
            <w:r>
              <w:t xml:space="preserve">Supervision and mentorship of three (3) doctoral candidates affiliated with the Institute's research division, covering methodology, literature review, and thesis structure. Conducted via in-person meetings at the Brussels office and remote sessions.</w:t>
            </w:r>
          </w:p>
        </w:tc>
        <w:tc>
          <w:tcPr/>
          <w:p>
            <w:pPr>
              <w:pStyle w:val="Compact"/>
              <w:jc w:val="left"/>
            </w:pPr>
            <w:r>
              <w:t xml:space="preserve">Jan – Jun 2025</w:t>
            </w:r>
          </w:p>
        </w:tc>
        <w:tc>
          <w:tcPr/>
          <w:p>
            <w:pPr>
              <w:pStyle w:val="Compact"/>
              <w:jc w:val="left"/>
            </w:pPr>
            <w:r>
              <w:t xml:space="preserve">30</w:t>
            </w:r>
          </w:p>
        </w:tc>
        <w:tc>
          <w:tcPr/>
          <w:p>
            <w:pPr>
              <w:pStyle w:val="Compact"/>
              <w:jc w:val="left"/>
            </w:pPr>
            <w:r>
              <w:t xml:space="preserve">€150.00</w:t>
            </w:r>
          </w:p>
        </w:tc>
        <w:tc>
          <w:tcPr/>
          <w:p>
            <w:pPr>
              <w:pStyle w:val="Compact"/>
              <w:jc w:val="left"/>
            </w:pPr>
            <w:r>
              <w:t xml:space="preserve">€4,500.00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€28,860.00</w:t>
            </w:r>
          </w:p>
        </w:tc>
      </w:tr>
      <w:tr>
        <w:tc>
          <w:tcPr/>
          <w:p>
            <w:pPr>
              <w:pStyle w:val="Compact"/>
              <w:jc w:val="left"/>
            </w:pPr>
            <w:r>
              <w:t xml:space="preserve">VAT @ 21% (Belgian standard rate)</w:t>
            </w:r>
          </w:p>
        </w:tc>
        <w:tc>
          <w:tcPr/>
          <w:p>
            <w:pPr>
              <w:pStyle w:val="Compact"/>
              <w:jc w:val="right"/>
            </w:pPr>
            <w:r>
              <w:t xml:space="preserve">€6,060.60</w:t>
            </w:r>
          </w:p>
        </w:tc>
      </w:tr>
      <w:tr>
        <w:tc>
          <w:tcPr/>
          <w:p>
            <w:pPr>
              <w:pStyle w:val="Compact"/>
              <w:jc w:val="left"/>
            </w:pPr>
            <w:r>
              <w:t xml:space="preserve">TOTAL DUE (incl. VAT)</w:t>
            </w:r>
          </w:p>
        </w:tc>
        <w:tc>
          <w:tcPr/>
          <w:p>
            <w:pPr>
              <w:pStyle w:val="Compact"/>
              <w:jc w:val="right"/>
            </w:pPr>
            <w:r>
              <w:t xml:space="preserve">€34,920.60</w:t>
            </w:r>
          </w:p>
        </w:tc>
      </w:tr>
    </w:tbl>
    <w:bookmarkStart w:id="22" w:name="payment-instructions"/>
    <w:p>
      <w:pPr>
        <w:pStyle w:val="Heading4"/>
      </w:pPr>
      <w:r>
        <w:t xml:space="preserve">Payment Instructions</w:t>
      </w:r>
    </w:p>
    <w:p>
      <w:pPr>
        <w:pStyle w:val="FirstParagraph"/>
      </w:pPr>
      <w:r>
        <w:t xml:space="preserve">Please remit payment via bank transfer to the following Belgian bank account within thirty (30) calendar days of the invoice date. Reference the invoice number</w:t>
      </w:r>
      <w:r>
        <w:t xml:space="preserve"> </w:t>
      </w:r>
      <w:r>
        <w:rPr>
          <w:bCs/>
          <w:b/>
        </w:rPr>
        <w:t xml:space="preserve">INV-2025-BRU-0472</w:t>
      </w:r>
      <w:r>
        <w:t xml:space="preserve"> </w:t>
      </w:r>
      <w:r>
        <w:t xml:space="preserve">in all correspondence and payment references.</w:t>
      </w:r>
    </w:p>
    <w:p>
      <w:pPr>
        <w:pStyle w:val="BodyText"/>
      </w:pPr>
      <w:r>
        <w:rPr>
          <w:bCs/>
          <w:b/>
        </w:rPr>
        <w:t xml:space="preserve">IBAN:</w:t>
      </w:r>
      <w:r>
        <w:t xml:space="preserve"> </w:t>
      </w:r>
      <w:r>
        <w:t xml:space="preserve">BE68 5390 0754 7034  | </w:t>
      </w:r>
      <w:r>
        <w:t xml:space="preserve"> </w:t>
      </w:r>
      <w:r>
        <w:rPr>
          <w:bCs/>
          <w:b/>
        </w:rPr>
        <w:t xml:space="preserve">BIC/SWIFT:</w:t>
      </w:r>
      <w:r>
        <w:t xml:space="preserve"> </w:t>
      </w:r>
      <w:r>
        <w:t xml:space="preserve">BBRUBEBB  | </w:t>
      </w:r>
      <w:r>
        <w:t xml:space="preserve"> </w:t>
      </w:r>
      <w:r>
        <w:rPr>
          <w:bCs/>
          <w:b/>
        </w:rPr>
        <w:t xml:space="preserve">Bank:</w:t>
      </w:r>
      <w:r>
        <w:t xml:space="preserve"> </w:t>
      </w:r>
      <w:r>
        <w:t xml:space="preserve">BNP Paribas Fortis, Brussels</w:t>
      </w:r>
    </w:p>
    <w:p>
      <w:pPr>
        <w:pStyle w:val="BodyText"/>
      </w:pPr>
      <w:r>
        <w:rPr>
          <w:iCs/>
          <w:i/>
        </w:rPr>
        <w:t xml:space="preserve">Payment overdue by more than 14 days beyond the due date shall accrue statutory interest at the rate prescribed by the Belgian Code of Economic Law (Wetboek van Economisch Recht), Article 5:110, as well as a fixed recovery cost of €40 per the Belgian Decree of 24 November 2014.</w:t>
      </w:r>
    </w:p>
    <w:bookmarkEnd w:id="22"/>
    <w:bookmarkStart w:id="23" w:name="Xb69843aca409cf00c45172cb83dcd86fa3414df"/>
    <w:p>
      <w:pPr>
        <w:pStyle w:val="Heading3"/>
      </w:pPr>
      <w:r>
        <w:t xml:space="preserve">Notes, Terms &amp; Conditions – Professorial Services in Brussels, Belgium</w:t>
      </w:r>
    </w:p>
    <w:p>
      <w:pPr>
        <w:numPr>
          <w:ilvl w:val="0"/>
          <w:numId w:val="1001"/>
        </w:numPr>
        <w:pStyle w:val="Compact"/>
      </w:pPr>
      <w:r>
        <w:t xml:space="preserve">This invoice is issued by Professor Dr. Hendrik Van den Berghe in his capacity as an independent academic consultant and professorial expert. All services described herein were rendered in accordance with the professional standards expected of a university professor in the Belgian higher education system.</w:t>
      </w:r>
    </w:p>
    <w:p>
      <w:pPr>
        <w:numPr>
          <w:ilvl w:val="0"/>
          <w:numId w:val="1001"/>
        </w:numPr>
        <w:pStyle w:val="Compact"/>
      </w:pPr>
      <w:r>
        <w:t xml:space="preserve">The place of performance for all services listed in this invoice is the Brussels-Capital Region, Belgium. The applicable law governing this invoice and the underlying service agreement is Belgian law, specifically the provisions of the Belgian Code of Economic Law relating to commercial invoices and the VAT Code (Code de la TVA / Wetboek BTW).</w:t>
      </w:r>
    </w:p>
    <w:p>
      <w:pPr>
        <w:numPr>
          <w:ilvl w:val="0"/>
          <w:numId w:val="1001"/>
        </w:numPr>
        <w:pStyle w:val="Compact"/>
      </w:pPr>
      <w:r>
        <w:t xml:space="preserve">VAT is charged at the Belgian standard rate of 21%. The Professor is registered for VAT purposes in Belgium under the number BE 0765.432.109, as issued by the Belgian Federal Public Service Finance (FPS Finance / FOD Financiën), Tax and Customs Administration, Brussels.</w:t>
      </w:r>
    </w:p>
    <w:p>
      <w:pPr>
        <w:numPr>
          <w:ilvl w:val="0"/>
          <w:numId w:val="1001"/>
        </w:numPr>
        <w:pStyle w:val="Compact"/>
      </w:pPr>
      <w:r>
        <w:t xml:space="preserve">Intellectual property in all academic materials, seminar curricula, keynote presentations, and editorial contributions produced by the Professor under this engagement remains the sole property of the Professor. The client is granted a non-exclusive, non-transferable licence to use such materials for internal institutional purposes within the Brussels office only.</w:t>
      </w:r>
    </w:p>
    <w:p>
      <w:pPr>
        <w:numPr>
          <w:ilvl w:val="0"/>
          <w:numId w:val="1001"/>
        </w:numPr>
        <w:pStyle w:val="Compact"/>
      </w:pPr>
      <w:r>
        <w:t xml:space="preserve">This invoice constitutes a valid tax document under Belgian law. In accordance with Article 310 of the Belgian VAT Code, the invoice contains all mandatory elements: the sequential invoice number, the date of issue, the identification of both parties, a description of the services, the applicable VAT rate, and the total amount due.</w:t>
      </w:r>
    </w:p>
    <w:p>
      <w:pPr>
        <w:numPr>
          <w:ilvl w:val="0"/>
          <w:numId w:val="1001"/>
        </w:numPr>
        <w:pStyle w:val="Compact"/>
      </w:pPr>
      <w:r>
        <w:t xml:space="preserve">Any disputes arising from this invoice or the services rendered shall be subject to the exclusive jurisdiction of the competent commercial court of Brussels, Belgium. The Professor reserves the right to suspend ongoing services in the event of non-payment beyond the stipulated due date.</w:t>
      </w:r>
    </w:p>
    <w:p>
      <w:pPr>
        <w:numPr>
          <w:ilvl w:val="0"/>
          <w:numId w:val="1001"/>
        </w:numPr>
        <w:pStyle w:val="Compact"/>
      </w:pPr>
      <w:r>
        <w:t xml:space="preserve">This invoice is valid for a period of five (5) years from the date of issue, in compliance with Belgian record-keeping obligations under the Code of Economic Law, Article 12:2.</w:t>
      </w:r>
    </w:p>
    <w:bookmarkEnd w:id="23"/>
    <w:p>
      <w:pPr>
        <w:pStyle w:val="FirstParagraph"/>
      </w:pPr>
      <w:r>
        <w:rPr>
          <w:bCs/>
          <w:b/>
        </w:rPr>
        <w:t xml:space="preserve">Prof. Dr. Hendrik Van den Berghe</w:t>
      </w:r>
      <w:r>
        <w:t xml:space="preserve"> </w:t>
      </w:r>
      <w:r>
        <w:t xml:space="preserve">– Independent Academic Consultant &amp; Professor, Vrije Universiteit Brussel</w:t>
      </w:r>
    </w:p>
    <w:p>
      <w:pPr>
        <w:pStyle w:val="BodyText"/>
      </w:pPr>
      <w:r>
        <w:t xml:space="preserve">Laarbeeklaan 2, 1090 Jette, Brussels, Belgium | BE VAT: BE 0765.432.109 | BE Enterprise: BE 0765.432.109</w:t>
      </w:r>
    </w:p>
    <w:p>
      <w:pPr>
        <w:pStyle w:val="BodyText"/>
      </w:pPr>
      <w:r>
        <w:t xml:space="preserve">Registered in the Crossroads Bank for Enterprises (KBO/CBE), Brussels | RPR Brussels</w:t>
      </w:r>
    </w:p>
    <w:p>
      <w:pPr>
        <w:pStyle w:val="BodyText"/>
      </w:pPr>
      <w:r>
        <w:t xml:space="preserve">This invoice was generated in Brussels, Belgium on 15 June 2025. For queries regarding this invoice, please contact the Professor's administrative office at the VUB Brussels campus or via the email address listed above. All communications concerning this invoice should reference number INV-2025-BRU-0472.</w:t>
      </w:r>
    </w:p>
    <w:p>
      <w:pPr>
        <w:pStyle w:val="BodyText"/>
      </w:pPr>
      <w:r>
        <w:t xml:space="preserve">© 2025 Prof. Dr. H. Van den Berghe. All rights reserved. This document is a legally binding invoice issued under Belgian law.</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Academic Services - Brussels, Belgium</dc:title>
  <dc:creator/>
  <dc:language>en</dc:language>
  <cp:keywords/>
  <dcterms:created xsi:type="dcterms:W3CDTF">2026-10-10T03:37:46Z</dcterms:created>
  <dcterms:modified xsi:type="dcterms:W3CDTF">2026-10-10T03:37:46Z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