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Professor</w:t>
      </w:r>
      <w:r>
        <w:t xml:space="preserve"> </w:t>
      </w:r>
      <w:r>
        <w:t xml:space="preserve">Services</w:t>
      </w:r>
      <w:r>
        <w:t xml:space="preserve"> </w:t>
      </w:r>
      <w:r>
        <w:t xml:space="preserve">-</w:t>
      </w:r>
      <w:r>
        <w:t xml:space="preserve"> </w:t>
      </w:r>
      <w:r>
        <w:t xml:space="preserve">Alexandria,</w:t>
      </w:r>
      <w:r>
        <w:t xml:space="preserve"> </w:t>
      </w:r>
      <w:r>
        <w:t xml:space="preserve">Egypt</w:t>
      </w:r>
    </w:p>
    <w:bookmarkStart w:id="20" w:name="invoice"/>
    <w:p>
      <w:pPr>
        <w:pStyle w:val="Heading1"/>
      </w:pPr>
      <w:r>
        <w:t xml:space="preserve">INVOICE</w:t>
      </w:r>
    </w:p>
    <w:p>
      <w:pPr>
        <w:pStyle w:val="FirstParagraph"/>
      </w:pPr>
      <w:r>
        <w:t xml:space="preserve">Professional Academic Services — Alexandria, Egypt</w:t>
      </w:r>
    </w:p>
    <w:p>
      <w:pPr>
        <w:pStyle w:val="BodyText"/>
      </w:pPr>
      <w:r>
        <w:t xml:space="preserve">Invoice No. ALE-2025-04782</w:t>
      </w:r>
    </w:p>
    <w:bookmarkEnd w:id="20"/>
    <w:bookmarkStart w:id="21" w:name="issued-by-professor"/>
    <w:p>
      <w:pPr>
        <w:pStyle w:val="Heading3"/>
      </w:pPr>
      <w:r>
        <w:t xml:space="preserve">Issued By (Professor)</w:t>
      </w:r>
    </w:p>
    <w:p>
      <w:pPr>
        <w:pStyle w:val="FirstParagraph"/>
      </w:pPr>
      <w:r>
        <w:rPr>
          <w:bCs/>
          <w:b/>
        </w:rPr>
        <w:t xml:space="preserve">Professor Dr. Mahmoud El-Sayed Hassan</w:t>
      </w:r>
    </w:p>
    <w:p>
      <w:pPr>
        <w:pStyle w:val="BodyText"/>
      </w:pPr>
      <w:r>
        <w:t xml:space="preserve">Department of Applied Sciences</w:t>
      </w:r>
    </w:p>
    <w:p>
      <w:pPr>
        <w:pStyle w:val="BodyText"/>
      </w:pPr>
      <w:r>
        <w:t xml:space="preserve">Alexandria University, Faculty of Engineering</w:t>
      </w:r>
    </w:p>
    <w:p>
      <w:pPr>
        <w:pStyle w:val="BodyText"/>
      </w:pPr>
      <w:r>
        <w:t xml:space="preserve">El-Montaza District, Alexandria, Egypt</w:t>
      </w:r>
    </w:p>
    <w:p>
      <w:pPr>
        <w:pStyle w:val="BodyText"/>
      </w:pPr>
      <w:r>
        <w:t xml:space="preserve">Tax Registration No: EG-4471-2019-00382</w:t>
      </w:r>
    </w:p>
    <w:p>
      <w:pPr>
        <w:pStyle w:val="BodyText"/>
      </w:pPr>
      <w:r>
        <w:t xml:space="preserve">Email: m.el-sayed@alexu.edu.eg</w:t>
      </w:r>
    </w:p>
    <w:p>
      <w:pPr>
        <w:pStyle w:val="BodyText"/>
      </w:pPr>
      <w:r>
        <w:t xml:space="preserve">Phone: +20 3 552 7841</w:t>
      </w:r>
    </w:p>
    <w:bookmarkEnd w:id="21"/>
    <w:bookmarkStart w:id="22" w:name="billed-to"/>
    <w:p>
      <w:pPr>
        <w:pStyle w:val="Heading3"/>
      </w:pPr>
      <w:r>
        <w:t xml:space="preserve">Billed To</w:t>
      </w:r>
    </w:p>
    <w:p>
      <w:pPr>
        <w:pStyle w:val="FirstParagraph"/>
      </w:pPr>
      <w:r>
        <w:rPr>
          <w:bCs/>
          <w:b/>
        </w:rPr>
        <w:t xml:space="preserve">Alexandria Research &amp; Innovation Center</w:t>
      </w:r>
    </w:p>
    <w:p>
      <w:pPr>
        <w:pStyle w:val="BodyText"/>
      </w:pPr>
      <w:r>
        <w:t xml:space="preserve">Attn: Dr. Layla Farouk, Director of Operations</w:t>
      </w:r>
    </w:p>
    <w:p>
      <w:pPr>
        <w:pStyle w:val="BodyText"/>
      </w:pPr>
      <w:r>
        <w:t xml:space="preserve">14 Corniche El-Nil Street, El-Asbhar</w:t>
      </w:r>
    </w:p>
    <w:p>
      <w:pPr>
        <w:pStyle w:val="BodyText"/>
      </w:pPr>
      <w:r>
        <w:t xml:space="preserve">Alexandria, Egypt 21542</w:t>
      </w:r>
    </w:p>
    <w:p>
      <w:pPr>
        <w:pStyle w:val="BodyText"/>
      </w:pPr>
      <w:r>
        <w:t xml:space="preserve">Tax Registration No: EG-8823-2021-01156</w:t>
      </w:r>
    </w:p>
    <w:p>
      <w:pPr>
        <w:pStyle w:val="BodyText"/>
      </w:pPr>
      <w:r>
        <w:t xml:space="preserve">Email: operations@ari-center.eg</w:t>
      </w:r>
    </w:p>
    <w:bookmarkEnd w:id="22"/>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 (30 days)</w:t>
      </w:r>
    </w:p>
    <w:p>
      <w:pPr>
        <w:pStyle w:val="BodyText"/>
      </w:pPr>
      <w:r>
        <w:rPr>
          <w:bCs/>
          <w:b/>
        </w:rPr>
        <w:t xml:space="preserve">Service Period:</w:t>
      </w:r>
      <w:r>
        <w:t xml:space="preserve"> </w:t>
      </w:r>
      <w:r>
        <w:t xml:space="preserve">1 March 2025 – 31 May 2025</w:t>
      </w:r>
    </w:p>
    <w:p>
      <w:pPr>
        <w:pStyle w:val="BodyText"/>
      </w:pPr>
      <w:r>
        <w:rPr>
          <w:bCs/>
          <w:b/>
        </w:rPr>
        <w:t xml:space="preserve">Currency:</w:t>
      </w:r>
      <w:r>
        <w:t xml:space="preserve"> </w:t>
      </w:r>
      <w:r>
        <w:t xml:space="preserve">Egyptian Pound (EGP)</w:t>
      </w:r>
    </w:p>
    <w:p>
      <w:pPr>
        <w:pStyle w:val="BodyText"/>
      </w:pPr>
      <w:r>
        <w:rPr>
          <w:bCs/>
          <w:b/>
        </w:rPr>
        <w:t xml:space="preserve">Payment Method:</w:t>
      </w:r>
      <w:r>
        <w:t xml:space="preserve"> </w:t>
      </w:r>
      <w:r>
        <w:t xml:space="preserve">Bank Transfer</w:t>
      </w:r>
    </w:p>
    <w:p>
      <w:pPr>
        <w:pStyle w:val="BodyText"/>
      </w:pPr>
      <w:r>
        <w:rPr>
          <w:bCs/>
          <w:b/>
        </w:rPr>
        <w:t xml:space="preserve">Bank:</w:t>
      </w:r>
      <w:r>
        <w:t xml:space="preserve"> </w:t>
      </w:r>
      <w:r>
        <w:t xml:space="preserve">National Bank of Egypt, Alexandria Branch</w:t>
      </w:r>
    </w:p>
    <w:p>
      <w:pPr>
        <w:pStyle w:val="BodyText"/>
      </w:pPr>
      <w:r>
        <w:rPr>
          <w:bCs/>
          <w:b/>
        </w:rPr>
        <w:t xml:space="preserve">Account No:</w:t>
      </w:r>
      <w:r>
        <w:t xml:space="preserve"> </w:t>
      </w:r>
      <w:r>
        <w:t xml:space="preserve">012-4478-9921-0038</w:t>
      </w:r>
    </w:p>
    <w:bookmarkStart w:id="23" w:name="Xbc55c35daf10eb0b92ccef1963cb24dc83f157f"/>
    <w:p>
      <w:pPr>
        <w:pStyle w:val="Heading2"/>
      </w:pPr>
      <w:r>
        <w:t xml:space="preserve">Invoice Line Items — Professor Services Rendered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Professor Services</w:t>
            </w:r>
          </w:p>
        </w:tc>
        <w:tc>
          <w:tcPr/>
          <w:p>
            <w:pPr>
              <w:pStyle w:val="Compact"/>
              <w:jc w:val="left"/>
            </w:pPr>
            <w:r>
              <w:t xml:space="preserve">Duration / Qty</w:t>
            </w:r>
          </w:p>
        </w:tc>
        <w:tc>
          <w:tcPr/>
          <w:p>
            <w:pPr>
              <w:pStyle w:val="Compact"/>
              <w:jc w:val="left"/>
            </w:pPr>
            <w:r>
              <w:t xml:space="preserve">Rate (EGP)</w:t>
            </w:r>
          </w:p>
        </w:tc>
        <w:tc>
          <w:tcPr/>
          <w:p>
            <w:pPr>
              <w:pStyle w:val="Compact"/>
              <w:jc w:val="left"/>
            </w:pPr>
            <w:r>
              <w:t xml:space="preserve">Amount (EGP)</w:t>
            </w:r>
          </w:p>
        </w:tc>
      </w:tr>
      <w:tr>
        <w:tc>
          <w:tcPr/>
          <w:p>
            <w:pPr>
              <w:pStyle w:val="Compact"/>
              <w:jc w:val="left"/>
            </w:pPr>
            <w:r>
              <w:t xml:space="preserve">01</w:t>
            </w:r>
          </w:p>
        </w:tc>
        <w:tc>
          <w:tcPr/>
          <w:p>
            <w:pPr>
              <w:pStyle w:val="Compact"/>
              <w:jc w:val="left"/>
            </w:pPr>
            <w:r>
              <w:t xml:space="preserve">Professor-led academic consulting on advanced materials engineering for the Alexandria Research &amp; Innovation Center's Q2 project cycle. Includes weekly on-site meetings at the Alexandria campus and remote advisory sessions.</w:t>
            </w:r>
          </w:p>
        </w:tc>
        <w:tc>
          <w:tcPr/>
          <w:p>
            <w:pPr>
              <w:pStyle w:val="Compact"/>
              <w:jc w:val="left"/>
            </w:pPr>
            <w:r>
              <w:t xml:space="preserve">12 sessions</w:t>
            </w:r>
          </w:p>
        </w:tc>
        <w:tc>
          <w:tcPr/>
          <w:p>
            <w:pPr>
              <w:pStyle w:val="Compact"/>
              <w:jc w:val="left"/>
            </w:pPr>
            <w:r>
              <w:t xml:space="preserve">3,500.00</w:t>
            </w:r>
          </w:p>
        </w:tc>
        <w:tc>
          <w:tcPr/>
          <w:p>
            <w:pPr>
              <w:pStyle w:val="Compact"/>
              <w:jc w:val="left"/>
            </w:pPr>
            <w:r>
              <w:t xml:space="preserve">42,000.00</w:t>
            </w:r>
          </w:p>
        </w:tc>
      </w:tr>
      <w:tr>
        <w:tc>
          <w:tcPr/>
          <w:p>
            <w:pPr>
              <w:pStyle w:val="Compact"/>
              <w:jc w:val="left"/>
            </w:pPr>
            <w:r>
              <w:t xml:space="preserve">02</w:t>
            </w:r>
          </w:p>
        </w:tc>
        <w:tc>
          <w:tcPr/>
          <w:p>
            <w:pPr>
              <w:pStyle w:val="Compact"/>
              <w:jc w:val="left"/>
            </w:pPr>
            <w:r>
              <w:t xml:space="preserve">Professor Dr. Hassan supervised and authored a comprehensive technical research report titled "Sustainable Polymer Composites for Coastal Infrastructure in Egypt Alexandria." The report spans 180 pages and includes laboratory data collected at the Alexandria University materials lab.</w:t>
            </w:r>
          </w:p>
        </w:tc>
        <w:tc>
          <w:tcPr/>
          <w:p>
            <w:pPr>
              <w:pStyle w:val="Compact"/>
              <w:jc w:val="left"/>
            </w:pPr>
            <w:r>
              <w:t xml:space="preserve">1 report</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03</w:t>
            </w:r>
          </w:p>
        </w:tc>
        <w:tc>
          <w:tcPr/>
          <w:p>
            <w:pPr>
              <w:pStyle w:val="Compact"/>
              <w:jc w:val="left"/>
            </w:pPr>
            <w:r>
              <w:t xml:space="preserve">Professor-led workshop series: "Innovative Teaching Methodologies in STEM Education" delivered to 45 faculty members at the Alexandria Research &amp; Innovation Center. Three full-day workshops conducted in Alexandria, Egypt.</w:t>
            </w:r>
          </w:p>
        </w:tc>
        <w:tc>
          <w:tcPr/>
          <w:p>
            <w:pPr>
              <w:pStyle w:val="Compact"/>
              <w:jc w:val="left"/>
            </w:pPr>
            <w:r>
              <w:t xml:space="preserve">3 workshops</w:t>
            </w:r>
          </w:p>
        </w:tc>
        <w:tc>
          <w:tcPr/>
          <w:p>
            <w:pPr>
              <w:pStyle w:val="Compact"/>
              <w:jc w:val="left"/>
            </w:pPr>
            <w:r>
              <w:t xml:space="preserve">6,500.00</w:t>
            </w:r>
          </w:p>
        </w:tc>
        <w:tc>
          <w:tcPr/>
          <w:p>
            <w:pPr>
              <w:pStyle w:val="Compact"/>
              <w:jc w:val="left"/>
            </w:pPr>
            <w:r>
              <w:t xml:space="preserve">19,500.00</w:t>
            </w:r>
          </w:p>
        </w:tc>
      </w:tr>
      <w:tr>
        <w:tc>
          <w:tcPr/>
          <w:p>
            <w:pPr>
              <w:pStyle w:val="Compact"/>
              <w:jc w:val="left"/>
            </w:pPr>
            <w:r>
              <w:t xml:space="preserve">04</w:t>
            </w:r>
          </w:p>
        </w:tc>
        <w:tc>
          <w:tcPr/>
          <w:p>
            <w:pPr>
              <w:pStyle w:val="Compact"/>
              <w:jc w:val="left"/>
            </w:pPr>
            <w:r>
              <w:t xml:space="preserve">Professor review and peer evaluation of 12 grant proposals submitted to the Egyptian Science, Technology &amp; Innovation Authority (STDA) on behalf of the Alexandria Research &amp; Innovation Center. Detailed written feedback provided for each proposal.</w:t>
            </w:r>
          </w:p>
        </w:tc>
        <w:tc>
          <w:tcPr/>
          <w:p>
            <w:pPr>
              <w:pStyle w:val="Compact"/>
              <w:jc w:val="left"/>
            </w:pPr>
            <w:r>
              <w:t xml:space="preserve">12 proposals</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05</w:t>
            </w:r>
          </w:p>
        </w:tc>
        <w:tc>
          <w:tcPr/>
          <w:p>
            <w:pPr>
              <w:pStyle w:val="Compact"/>
              <w:jc w:val="left"/>
            </w:pPr>
            <w:r>
              <w:t xml:space="preserve">Professor Dr. Hassan provided expert testimony and technical advisory input for the Alexandria Municipal Development Board regarding the coastal erosion mitigation study. Two formal presentations delivered in Alexandria, Egypt.</w:t>
            </w:r>
          </w:p>
        </w:tc>
        <w:tc>
          <w:tcPr/>
          <w:p>
            <w:pPr>
              <w:pStyle w:val="Compact"/>
              <w:jc w:val="left"/>
            </w:pPr>
            <w:r>
              <w:t xml:space="preserve">2 presentations</w:t>
            </w:r>
          </w:p>
        </w:tc>
        <w:tc>
          <w:tcPr/>
          <w:p>
            <w:pPr>
              <w:pStyle w:val="Compact"/>
              <w:jc w:val="left"/>
            </w:pPr>
            <w:r>
              <w:t xml:space="preserve">5,000.00</w:t>
            </w:r>
          </w:p>
        </w:tc>
        <w:tc>
          <w:tcPr/>
          <w:p>
            <w:pPr>
              <w:pStyle w:val="Compact"/>
              <w:jc w:val="left"/>
            </w:pPr>
            <w:r>
              <w:t xml:space="preserve">10,000.00</w:t>
            </w:r>
          </w:p>
        </w:tc>
      </w:tr>
      <w:tr>
        <w:tc>
          <w:tcPr/>
          <w:p>
            <w:pPr>
              <w:pStyle w:val="Compact"/>
              <w:jc w:val="left"/>
            </w:pPr>
            <w:r>
              <w:t xml:space="preserve">06</w:t>
            </w:r>
          </w:p>
        </w:tc>
        <w:tc>
          <w:tcPr/>
          <w:p>
            <w:pPr>
              <w:pStyle w:val="Compact"/>
              <w:jc w:val="left"/>
            </w:pPr>
            <w:r>
              <w:t xml:space="preserve">Professor-led mentorship program for 8 early-career researchers at the Alexandria Research &amp; Innovation Center. Monthly one-on-one mentoring sessions covering research methodology, publication strategy, and grant writing.</w:t>
            </w:r>
          </w:p>
        </w:tc>
        <w:tc>
          <w:tcPr/>
          <w:p>
            <w:pPr>
              <w:pStyle w:val="Compact"/>
              <w:jc w:val="left"/>
            </w:pPr>
            <w:r>
              <w:t xml:space="preserve">24 sessions</w:t>
            </w:r>
          </w:p>
        </w:tc>
        <w:tc>
          <w:tcPr/>
          <w:p>
            <w:pPr>
              <w:pStyle w:val="Compact"/>
              <w:jc w:val="left"/>
            </w:pPr>
            <w:r>
              <w:t xml:space="preserve">1,200.00</w:t>
            </w:r>
          </w:p>
        </w:tc>
        <w:tc>
          <w:tcPr/>
          <w:p>
            <w:pPr>
              <w:pStyle w:val="Compact"/>
              <w:jc w:val="left"/>
            </w:pPr>
            <w:r>
              <w:t xml:space="preserve">28,800.00</w:t>
            </w:r>
          </w:p>
        </w:tc>
      </w:tr>
      <w:tr>
        <w:tc>
          <w:tcPr/>
          <w:p>
            <w:pPr>
              <w:pStyle w:val="Compact"/>
              <w:jc w:val="left"/>
            </w:pPr>
            <w:r>
              <w:t xml:space="preserve">07</w:t>
            </w:r>
          </w:p>
        </w:tc>
        <w:tc>
          <w:tcPr/>
          <w:p>
            <w:pPr>
              <w:pStyle w:val="Compact"/>
              <w:jc w:val="left"/>
            </w:pPr>
            <w:r>
              <w:t xml:space="preserve">Professor Dr. Hassan compiled and delivered a specialized training module on "Data-Driven Engineering Analysis" for the Alexandria Research &amp; Innovation Center's technical staff. Includes printed course materials and digital access to supplementary resources.</w:t>
            </w:r>
          </w:p>
        </w:tc>
        <w:tc>
          <w:tcPr/>
          <w:p>
            <w:pPr>
              <w:pStyle w:val="Compact"/>
              <w:jc w:val="left"/>
            </w:pPr>
            <w:r>
              <w:t xml:space="preserve">1 module (16 hrs)</w:t>
            </w:r>
          </w:p>
        </w:tc>
        <w:tc>
          <w:tcPr/>
          <w:p>
            <w:pPr>
              <w:pStyle w:val="Compact"/>
              <w:jc w:val="left"/>
            </w:pPr>
            <w:r>
              <w:t xml:space="preserve">4,200.00</w:t>
            </w:r>
          </w:p>
        </w:tc>
        <w:tc>
          <w:tcPr/>
          <w:p>
            <w:pPr>
              <w:pStyle w:val="Compact"/>
              <w:jc w:val="left"/>
            </w:pPr>
            <w:r>
              <w:t xml:space="preserve">67,200.00</w:t>
            </w:r>
          </w:p>
        </w:tc>
      </w:tr>
    </w:tbl>
    <w:bookmarkEnd w:id="23"/>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217,100.00 EGP</w:t>
            </w:r>
          </w:p>
        </w:tc>
      </w:tr>
      <w:tr>
        <w:tc>
          <w:tcPr/>
          <w:p>
            <w:pPr>
              <w:pStyle w:val="Compact"/>
              <w:jc w:val="left"/>
            </w:pPr>
            <w:r>
              <w:t xml:space="preserve">VAT (14% — Egyptian Tax Authority)</w:t>
            </w:r>
          </w:p>
        </w:tc>
        <w:tc>
          <w:tcPr/>
          <w:p>
            <w:pPr>
              <w:pStyle w:val="Compact"/>
              <w:jc w:val="left"/>
            </w:pPr>
            <w:r>
              <w:t xml:space="preserve">30,394.00 EGP</w:t>
            </w:r>
          </w:p>
        </w:tc>
      </w:tr>
      <w:tr>
        <w:tc>
          <w:tcPr/>
          <w:p>
            <w:pPr>
              <w:pStyle w:val="Compact"/>
              <w:jc w:val="left"/>
            </w:pPr>
            <w:r>
              <w:t xml:space="preserve">Administrative &amp; Processing Fee</w:t>
            </w:r>
          </w:p>
        </w:tc>
        <w:tc>
          <w:tcPr/>
          <w:p>
            <w:pPr>
              <w:pStyle w:val="Compact"/>
              <w:jc w:val="left"/>
            </w:pPr>
            <w:r>
              <w:t xml:space="preserve">2,171.00 EGP</w:t>
            </w:r>
          </w:p>
        </w:tc>
      </w:tr>
      <w:tr>
        <w:tc>
          <w:tcPr/>
          <w:p>
            <w:pPr>
              <w:pStyle w:val="Compact"/>
              <w:jc w:val="left"/>
            </w:pPr>
            <w:r>
              <w:t xml:space="preserve">Grand Total Due</w:t>
            </w:r>
          </w:p>
        </w:tc>
        <w:tc>
          <w:tcPr/>
          <w:p>
            <w:pPr>
              <w:pStyle w:val="Compact"/>
              <w:jc w:val="left"/>
            </w:pPr>
            <w:r>
              <w:t xml:space="preserve">249,665.00 EGP</w:t>
            </w:r>
          </w:p>
        </w:tc>
      </w:tr>
    </w:tbl>
    <w:bookmarkStart w:id="24" w:name="invoice-terms-conditions-notes"/>
    <w:p>
      <w:pPr>
        <w:pStyle w:val="Heading2"/>
      </w:pPr>
      <w:r>
        <w:t xml:space="preserve">Invoice Terms, Conditions &amp; Notes</w:t>
      </w:r>
    </w:p>
    <w:p>
      <w:pPr>
        <w:pStyle w:val="FirstParagraph"/>
      </w:pPr>
      <w:r>
        <w:rPr>
          <w:bCs/>
          <w:b/>
        </w:rPr>
        <w:t xml:space="preserve">1. Payment Terms:</w:t>
      </w:r>
      <w:r>
        <w:t xml:space="preserve"> </w:t>
      </w:r>
      <w:r>
        <w:t xml:space="preserve">This Invoice is payable within thirty (30) calendar days from the Invoice date of 15 June 2025. Payment shall be made via bank transfer to the account specified above. Late payments shall incur a penalty of 2% per month as per Egyptian commercial law.</w:t>
      </w:r>
    </w:p>
    <w:p>
      <w:pPr>
        <w:pStyle w:val="BodyText"/>
      </w:pPr>
      <w:r>
        <w:rPr>
          <w:bCs/>
          <w:b/>
        </w:rPr>
        <w:t xml:space="preserve">2. Professor's Professional Liability:</w:t>
      </w:r>
      <w:r>
        <w:t xml:space="preserve"> </w:t>
      </w:r>
      <w:r>
        <w:t xml:space="preserve">All services rendered by Professor Dr. Mahmoud El-Sayed Hassan are performed in accordance with the professional standards established by the Alexandria University Faculty of Engineering and the Egyptian Engineers Syndicate. The Professor warrants that all research findings, reports, and advisory opinions provided under this Invoice are original, accurate, and free from intellectual property infringement.</w:t>
      </w:r>
    </w:p>
    <w:p>
      <w:pPr>
        <w:pStyle w:val="BodyText"/>
      </w:pPr>
      <w:r>
        <w:rPr>
          <w:bCs/>
          <w:b/>
        </w:rPr>
        <w:t xml:space="preserve">3. Scope of Services in Egypt Alexandria:</w:t>
      </w:r>
      <w:r>
        <w:t xml:space="preserve"> </w:t>
      </w:r>
      <w:r>
        <w:t xml:space="preserve">All on-site services referenced in this Invoice were physically conducted within the geographic boundaries of Alexandria, Egypt. Travel, accommodation, and local transportation costs incurred by the Professor during the service period are included in the rates stated above and are not subject to additional billing.</w:t>
      </w:r>
    </w:p>
    <w:p>
      <w:pPr>
        <w:pStyle w:val="BodyText"/>
      </w:pPr>
      <w:r>
        <w:rPr>
          <w:bCs/>
          <w:b/>
        </w:rPr>
        <w:t xml:space="preserve">4. Intellectual Property:</w:t>
      </w:r>
      <w:r>
        <w:t xml:space="preserve"> </w:t>
      </w:r>
      <w:r>
        <w:t xml:space="preserve">Upon full settlement of this Invoice, all deliverables including the research report, workshop materials, training modules, and written feedback documents shall become the property of the Alexandria Research &amp; Innovation Center. The Professor retains the right to reference the work in academic publications with prior written consent.</w:t>
      </w:r>
    </w:p>
    <w:p>
      <w:pPr>
        <w:pStyle w:val="BodyText"/>
      </w:pPr>
      <w:r>
        <w:rPr>
          <w:bCs/>
          <w:b/>
        </w:rPr>
        <w:t xml:space="preserve">5. Dispute Resolution:</w:t>
      </w:r>
      <w:r>
        <w:t xml:space="preserve"> </w:t>
      </w:r>
      <w:r>
        <w:t xml:space="preserve">Any disputes arising from this Invoice shall be resolved through the Alexandria Commercial Court in accordance with Egyptian law. Both parties agree to attempt mediation through the Alexandria Chamber of Commerce before initiating formal legal proceedings.</w:t>
      </w:r>
    </w:p>
    <w:p>
      <w:pPr>
        <w:pStyle w:val="BodyText"/>
      </w:pPr>
      <w:r>
        <w:rPr>
          <w:bCs/>
          <w:b/>
        </w:rPr>
        <w:t xml:space="preserve">6. Tax Compliance:</w:t>
      </w:r>
      <w:r>
        <w:t xml:space="preserve"> </w:t>
      </w:r>
      <w:r>
        <w:t xml:space="preserve">This Invoice has been issued in compliance with the Egyptian Tax Authority regulations. The VAT number and tax registration details provided herein are valid and current. A stamped copy of this Invoice may be requested for accounting and audit purposes.</w:t>
      </w:r>
    </w:p>
    <w:p>
      <w:pPr>
        <w:pStyle w:val="BodyText"/>
      </w:pPr>
      <w:r>
        <w:rPr>
          <w:bCs/>
          <w:b/>
        </w:rPr>
        <w:t xml:space="preserve">7. Cancellation &amp; Revisions:</w:t>
      </w:r>
      <w:r>
        <w:t xml:space="preserve"> </w:t>
      </w:r>
      <w:r>
        <w:t xml:space="preserve">No services listed in this Invoice are subject to cancellation or revision once the service period has concluded. Any amendments to the scope of work must be documented in a written addendum signed by both the Professor and the client prior to execution.</w:t>
      </w:r>
    </w:p>
    <w:bookmarkEnd w:id="24"/>
    <w:p>
      <w:pPr>
        <w:pStyle w:val="BodyText"/>
      </w:pPr>
      <w:r>
        <w:rPr>
          <w:bCs/>
          <w:b/>
        </w:rPr>
        <w:t xml:space="preserve">Professor Dr. Mahmoud El-Sayed Hassan</w:t>
      </w:r>
      <w:r>
        <w:t xml:space="preserve"> </w:t>
      </w:r>
      <w:r>
        <w:t xml:space="preserve">— Signature &amp; Official Seal</w:t>
      </w:r>
    </w:p>
    <w:p>
      <w:pPr>
        <w:pStyle w:val="BodyText"/>
      </w:pPr>
      <w:r>
        <w:t xml:space="preserve">Issued in Alexandria, Egypt — 15 June 2025</w:t>
      </w:r>
    </w:p>
    <w:p>
      <w:pPr>
        <w:pStyle w:val="BodyText"/>
      </w:pPr>
      <w:r>
        <w:t xml:space="preserve">This Invoice is valid for a period of 90 days from the date of issue. Please reference Invoice No. ALE-2025-04782 in all correspondence and payment transactions.</w:t>
      </w:r>
    </w:p>
    <w:p>
      <w:pPr>
        <w:pStyle w:val="BodyText"/>
      </w:pPr>
      <w:r>
        <w:t xml:space="preserve">© 2025 Professor Dr. M. El-Sayed Hassan — All Rights Reserved — Alexandria, Egypt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Professor Services - Alexandria, Egypt</dc:title>
  <dc:creator/>
  <dc:language>en</dc:language>
  <cp:keywords/>
  <dcterms:created xsi:type="dcterms:W3CDTF">2026-10-10T04:33:59Z</dcterms:created>
  <dcterms:modified xsi:type="dcterms:W3CDTF">2026-10-10T04:33:59Z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