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Dr.</w:t>
      </w:r>
      <w:r>
        <w:t xml:space="preserve"> </w:t>
      </w:r>
      <w:r>
        <w:t xml:space="preserve">Heinrich</w:t>
      </w:r>
      <w:r>
        <w:t xml:space="preserve"> </w:t>
      </w:r>
      <w:r>
        <w:t xml:space="preserve">Müller</w:t>
      </w:r>
      <w:r>
        <w:t xml:space="preserve"> </w:t>
      </w:r>
      <w:r>
        <w:t xml:space="preserve">-</w:t>
      </w:r>
      <w:r>
        <w:t xml:space="preserve"> </w:t>
      </w:r>
      <w:r>
        <w:t xml:space="preserve">Berlin,</w:t>
      </w:r>
      <w:r>
        <w:t xml:space="preserve"> </w:t>
      </w:r>
      <w:r>
        <w:t xml:space="preserve">Germany</w:t>
      </w:r>
    </w:p>
    <w:bookmarkStart w:id="20" w:name="invoice"/>
    <w:p>
      <w:pPr>
        <w:pStyle w:val="Heading1"/>
      </w:pPr>
      <w:r>
        <w:t xml:space="preserve">INVOICE</w:t>
      </w:r>
    </w:p>
    <w:p>
      <w:pPr>
        <w:pStyle w:val="FirstParagraph"/>
      </w:pPr>
      <w:r>
        <w:t xml:space="preserve">Rechnung gemäß § 14 UStG</w:t>
      </w:r>
    </w:p>
    <w:p>
      <w:pPr>
        <w:pStyle w:val="BodyText"/>
      </w:pPr>
      <w:r>
        <w:t xml:space="preserve">Official Invoice Document</w:t>
      </w:r>
    </w:p>
    <w:bookmarkEnd w:id="20"/>
    <w:p>
      <w:pPr>
        <w:pStyle w:val="BodyText"/>
      </w:pPr>
      <w:r>
        <w:rPr>
          <w:bCs/>
          <w:b/>
        </w:rPr>
        <w:t xml:space="preserve">Invoice Number:</w:t>
      </w:r>
      <w:r>
        <w:t xml:space="preserve"> </w:t>
      </w:r>
      <w:r>
        <w:t xml:space="preserve">INV-2025-BER-0487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Place of Issue:</w:t>
      </w:r>
      <w:r>
        <w:t xml:space="preserve"> </w:t>
      </w:r>
      <w:r>
        <w:t xml:space="preserve">Berlin, Germany</w:t>
      </w:r>
    </w:p>
    <w:bookmarkStart w:id="21" w:name="issued-by-service-provider"/>
    <w:p>
      <w:pPr>
        <w:pStyle w:val="Heading3"/>
      </w:pPr>
      <w:r>
        <w:t xml:space="preserve">Issued By (Service Provider)</w:t>
      </w:r>
    </w:p>
    <w:p>
      <w:pPr>
        <w:pStyle w:val="FirstParagraph"/>
      </w:pPr>
      <w:r>
        <w:rPr>
          <w:bCs/>
          <w:b/>
        </w:rPr>
        <w:t xml:space="preserve">Professor Dr. Heinrich Müller</w:t>
      </w:r>
    </w:p>
    <w:p>
      <w:pPr>
        <w:pStyle w:val="BodyText"/>
      </w:pPr>
      <w:r>
        <w:t xml:space="preserve">Independent Academic Consultant &amp; Lecturer</w:t>
      </w:r>
    </w:p>
    <w:p>
      <w:pPr>
        <w:pStyle w:val="BodyText"/>
      </w:pPr>
      <w:r>
        <w:t xml:space="preserve">Charlottenstraße 142, 10117 Berlin</w:t>
      </w:r>
    </w:p>
    <w:p>
      <w:pPr>
        <w:pStyle w:val="BodyText"/>
      </w:pPr>
      <w:r>
        <w:t xml:space="preserve">Germany</w:t>
      </w:r>
    </w:p>
    <w:p>
      <w:pPr>
        <w:pStyle w:val="BodyText"/>
      </w:pPr>
      <w:r>
        <w:t xml:space="preserve">Tel: +49 30 5557 8821</w:t>
      </w:r>
    </w:p>
    <w:p>
      <w:pPr>
        <w:pStyle w:val="BodyText"/>
      </w:pPr>
      <w:r>
        <w:t xml:space="preserve">Email: h.mueller@prof-berlin.de</w:t>
      </w:r>
    </w:p>
    <w:p>
      <w:pPr>
        <w:pStyle w:val="BodyText"/>
      </w:pPr>
      <w:r>
        <w:t xml:space="preserve">VAT ID (USt-IdNr.): DE 318 442 907</w:t>
      </w:r>
    </w:p>
    <w:p>
      <w:pPr>
        <w:pStyle w:val="BodyText"/>
      </w:pPr>
      <w:r>
        <w:t xml:space="preserve">Trade Register (Handelsregister): HRB 128 445, Amtsgericht Berlin-Charlottenburg</w:t>
      </w:r>
    </w:p>
    <w:bookmarkEnd w:id="21"/>
    <w:bookmarkStart w:id="22" w:name="billed-to-client"/>
    <w:p>
      <w:pPr>
        <w:pStyle w:val="Heading3"/>
      </w:pPr>
      <w:r>
        <w:t xml:space="preserve">Billed To (Client)</w:t>
      </w:r>
    </w:p>
    <w:p>
      <w:pPr>
        <w:pStyle w:val="FirstParagraph"/>
      </w:pPr>
      <w:r>
        <w:rPr>
          <w:bCs/>
          <w:b/>
        </w:rPr>
        <w:t xml:space="preserve">Technische Universität Berlin</w:t>
      </w:r>
    </w:p>
    <w:p>
      <w:pPr>
        <w:pStyle w:val="BodyText"/>
      </w:pPr>
      <w:r>
        <w:t xml:space="preserve">Fakultät IV – Elektrotechnik und Informatik</w:t>
      </w:r>
    </w:p>
    <w:p>
      <w:pPr>
        <w:pStyle w:val="BodyText"/>
      </w:pPr>
      <w:r>
        <w:t xml:space="preserve">Fraunhoferstraße 33-35, 10587 Berlin</w:t>
      </w:r>
    </w:p>
    <w:p>
      <w:pPr>
        <w:pStyle w:val="BodyText"/>
      </w:pPr>
      <w:r>
        <w:t xml:space="preserve">Germany</w:t>
      </w:r>
    </w:p>
    <w:p>
      <w:pPr>
        <w:pStyle w:val="BodyText"/>
      </w:pPr>
      <w:r>
        <w:t xml:space="preserve">Attn: Prof. Dr. Sabine Krüger, Dean of Faculty IV</w:t>
      </w:r>
    </w:p>
    <w:p>
      <w:pPr>
        <w:pStyle w:val="BodyText"/>
      </w:pPr>
      <w:r>
        <w:t xml:space="preserve">Procurement Ref: TU-B-2025-03412</w:t>
      </w:r>
    </w:p>
    <w:bookmarkEnd w:id="22"/>
    <w:bookmarkStart w:id="25" w:name="description-of-services-rendered"/>
    <w:p>
      <w:pPr>
        <w:pStyle w:val="Heading2"/>
      </w:pPr>
      <w:r>
        <w:t xml:space="preserve">Description of Services Rendered</w:t>
      </w:r>
    </w:p>
    <w:p>
      <w:pPr>
        <w:pStyle w:val="FirstParagraph"/>
      </w:pPr>
      <w:r>
        <w:t xml:space="preserve">This Invoice is issued by Professor Dr. Heinrich Müller in his capacity as an independent academic consultant and visiting professor engaged by the Technische Universität Berlin. The services described below were performed in Berlin, Germany, during the period of 1 March 2025 through 30 May 2025, in accordance with the written service agreement dated 28 February 2025 (Contract No. TU-B-2025-03412).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Guest lectures in the module "Advanced Computational Methods in Engineering" (12 sessions, 90 min each), delivered at the main campus in Berlin-Charlottenburg</w:t>
            </w:r>
          </w:p>
        </w:tc>
        <w:tc>
          <w:tcPr/>
          <w:p>
            <w:pPr>
              <w:pStyle w:val="Compact"/>
              <w:jc w:val="left"/>
            </w:pPr>
            <w:r>
              <w:t xml:space="preserve">Mar 2025</w:t>
            </w:r>
          </w:p>
        </w:tc>
        <w:tc>
          <w:tcPr/>
          <w:p>
            <w:pPr>
              <w:pStyle w:val="Compact"/>
              <w:jc w:val="left"/>
            </w:pPr>
            <w:r>
              <w:t xml:space="preserve">18.0</w:t>
            </w:r>
          </w:p>
        </w:tc>
        <w:tc>
          <w:tcPr/>
          <w:p>
            <w:pPr>
              <w:pStyle w:val="Compact"/>
              <w:jc w:val="left"/>
            </w:pPr>
            <w:r>
              <w:t xml:space="preserve">€ 185.00</w:t>
            </w:r>
          </w:p>
        </w:tc>
        <w:tc>
          <w:tcPr/>
          <w:p>
            <w:pPr>
              <w:pStyle w:val="Compact"/>
              <w:jc w:val="left"/>
            </w:pPr>
            <w:r>
              <w:t xml:space="preserve">€ 3,330.00</w:t>
            </w:r>
          </w:p>
        </w:tc>
      </w:tr>
      <w:tr>
        <w:tc>
          <w:tcPr/>
          <w:p>
            <w:pPr>
              <w:pStyle w:val="Compact"/>
              <w:jc w:val="left"/>
            </w:pPr>
            <w:r>
              <w:t xml:space="preserve">2</w:t>
            </w:r>
          </w:p>
        </w:tc>
        <w:tc>
          <w:tcPr/>
          <w:p>
            <w:pPr>
              <w:pStyle w:val="Compact"/>
              <w:jc w:val="left"/>
            </w:pPr>
            <w:r>
              <w:t xml:space="preserve">Supervision and evaluation of 6 doctoral theses in the field of Applied Numerical Analysis, including written feedback and oral examination participation</w:t>
            </w:r>
          </w:p>
        </w:tc>
        <w:tc>
          <w:tcPr/>
          <w:p>
            <w:pPr>
              <w:pStyle w:val="Compact"/>
              <w:jc w:val="left"/>
            </w:pPr>
            <w:r>
              <w:t xml:space="preserve">Mar–Apr 2025</w:t>
            </w:r>
          </w:p>
        </w:tc>
        <w:tc>
          <w:tcPr/>
          <w:p>
            <w:pPr>
              <w:pStyle w:val="Compact"/>
              <w:jc w:val="left"/>
            </w:pPr>
            <w:r>
              <w:t xml:space="preserve">42.0</w:t>
            </w:r>
          </w:p>
        </w:tc>
        <w:tc>
          <w:tcPr/>
          <w:p>
            <w:pPr>
              <w:pStyle w:val="Compact"/>
              <w:jc w:val="left"/>
            </w:pPr>
            <w:r>
              <w:t xml:space="preserve">€ 165.00</w:t>
            </w:r>
          </w:p>
        </w:tc>
        <w:tc>
          <w:tcPr/>
          <w:p>
            <w:pPr>
              <w:pStyle w:val="Compact"/>
              <w:jc w:val="left"/>
            </w:pPr>
            <w:r>
              <w:t xml:space="preserve">€ 6,930.00</w:t>
            </w:r>
          </w:p>
        </w:tc>
      </w:tr>
      <w:tr>
        <w:tc>
          <w:tcPr/>
          <w:p>
            <w:pPr>
              <w:pStyle w:val="Compact"/>
              <w:jc w:val="left"/>
            </w:pPr>
            <w:r>
              <w:t xml:space="preserve">3</w:t>
            </w:r>
          </w:p>
        </w:tc>
        <w:tc>
          <w:tcPr/>
          <w:p>
            <w:pPr>
              <w:pStyle w:val="Compact"/>
              <w:jc w:val="left"/>
            </w:pPr>
            <w:r>
              <w:t xml:space="preserve">Design and delivery of a 3-day intensive workshop on "Machine Learning for Structural Engineering" for postgraduate students, held at the TU Berlin Institute of Structural Engineering, Berlin</w:t>
            </w:r>
          </w:p>
        </w:tc>
        <w:tc>
          <w:tcPr/>
          <w:p>
            <w:pPr>
              <w:pStyle w:val="Compact"/>
              <w:jc w:val="left"/>
            </w:pPr>
            <w:r>
              <w:t xml:space="preserve">Apr 2025</w:t>
            </w:r>
          </w:p>
        </w:tc>
        <w:tc>
          <w:tcPr/>
          <w:p>
            <w:pPr>
              <w:pStyle w:val="Compact"/>
              <w:jc w:val="left"/>
            </w:pPr>
            <w:r>
              <w:t xml:space="preserve">24.0</w:t>
            </w:r>
          </w:p>
        </w:tc>
        <w:tc>
          <w:tcPr/>
          <w:p>
            <w:pPr>
              <w:pStyle w:val="Compact"/>
              <w:jc w:val="left"/>
            </w:pPr>
            <w:r>
              <w:t xml:space="preserve">€ 210.00</w:t>
            </w:r>
          </w:p>
        </w:tc>
        <w:tc>
          <w:tcPr/>
          <w:p>
            <w:pPr>
              <w:pStyle w:val="Compact"/>
              <w:jc w:val="left"/>
            </w:pPr>
            <w:r>
              <w:t xml:space="preserve">€ 5,040.00</w:t>
            </w:r>
          </w:p>
        </w:tc>
      </w:tr>
      <w:tr>
        <w:tc>
          <w:tcPr/>
          <w:p>
            <w:pPr>
              <w:pStyle w:val="Compact"/>
              <w:jc w:val="left"/>
            </w:pPr>
            <w:r>
              <w:t xml:space="preserve">4</w:t>
            </w:r>
          </w:p>
        </w:tc>
        <w:tc>
          <w:tcPr/>
          <w:p>
            <w:pPr>
              <w:pStyle w:val="Compact"/>
              <w:jc w:val="left"/>
            </w:pPr>
            <w:r>
              <w:t xml:space="preserve">Peer review and editorial consultation for the university's annual research report, including statistical validation of data sets and drafting of the methodology chapter</w:t>
            </w:r>
          </w:p>
        </w:tc>
        <w:tc>
          <w:tcPr/>
          <w:p>
            <w:pPr>
              <w:pStyle w:val="Compact"/>
              <w:jc w:val="left"/>
            </w:pPr>
            <w:r>
              <w:t xml:space="preserve">May 2025</w:t>
            </w:r>
          </w:p>
        </w:tc>
        <w:tc>
          <w:tcPr/>
          <w:p>
            <w:pPr>
              <w:pStyle w:val="Compact"/>
              <w:jc w:val="left"/>
            </w:pPr>
            <w:r>
              <w:t xml:space="preserve">16.0</w:t>
            </w:r>
          </w:p>
        </w:tc>
        <w:tc>
          <w:tcPr/>
          <w:p>
            <w:pPr>
              <w:pStyle w:val="Compact"/>
              <w:jc w:val="left"/>
            </w:pPr>
            <w:r>
              <w:t xml:space="preserve">€ 150.00</w:t>
            </w:r>
          </w:p>
        </w:tc>
        <w:tc>
          <w:tcPr/>
          <w:p>
            <w:pPr>
              <w:pStyle w:val="Compact"/>
              <w:jc w:val="left"/>
            </w:pPr>
            <w:r>
              <w:t xml:space="preserve">€ 2,400.00</w:t>
            </w:r>
          </w:p>
        </w:tc>
      </w:tr>
      <w:tr>
        <w:tc>
          <w:tcPr/>
          <w:p>
            <w:pPr>
              <w:pStyle w:val="Compact"/>
              <w:jc w:val="left"/>
            </w:pPr>
            <w:r>
              <w:t xml:space="preserve">5</w:t>
            </w:r>
          </w:p>
        </w:tc>
        <w:tc>
          <w:tcPr/>
          <w:p>
            <w:pPr>
              <w:pStyle w:val="Compact"/>
              <w:jc w:val="left"/>
            </w:pPr>
            <w:r>
              <w:t xml:space="preserve">Travel and accommodation expenses incurred for on-site presence at the Berlin campus (3 business trips, local transport, and hotel accommodation in Berlin-Mitte)</w:t>
            </w:r>
          </w:p>
        </w:tc>
        <w:tc>
          <w:tcPr/>
          <w:p>
            <w:pPr>
              <w:pStyle w:val="Compact"/>
              <w:jc w:val="left"/>
            </w:pPr>
            <w:r>
              <w:t xml:space="preserve">Mar–May 2025</w:t>
            </w:r>
          </w:p>
        </w:tc>
        <w:tc>
          <w:tcPr/>
          <w:p>
            <w:pPr>
              <w:pStyle w:val="Compact"/>
              <w:jc w:val="left"/>
            </w:pPr>
            <w:r>
              <w:t xml:space="preserve">—</w:t>
            </w:r>
          </w:p>
        </w:tc>
        <w:tc>
          <w:tcPr/>
          <w:p>
            <w:pPr>
              <w:pStyle w:val="Compact"/>
              <w:jc w:val="left"/>
            </w:pPr>
            <w:r>
              <w:t xml:space="preserve">—</w:t>
            </w:r>
          </w:p>
        </w:tc>
        <w:tc>
          <w:tcPr/>
          <w:p>
            <w:pPr>
              <w:pStyle w:val="Compact"/>
              <w:jc w:val="left"/>
            </w:pPr>
            <w:r>
              <w:t xml:space="preserve">€ 1,275.00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(EUR)</w:t>
            </w:r>
          </w:p>
        </w:tc>
      </w:tr>
      <w:tr>
        <w:tc>
          <w:tcPr/>
          <w:p>
            <w:pPr>
              <w:pStyle w:val="Compact"/>
              <w:jc w:val="left"/>
            </w:pPr>
            <w:r>
              <w:t xml:space="preserve">Subtotal (Net)</w:t>
            </w:r>
          </w:p>
        </w:tc>
        <w:tc>
          <w:tcPr/>
          <w:p>
            <w:pPr>
              <w:pStyle w:val="Compact"/>
              <w:jc w:val="right"/>
            </w:pPr>
            <w:r>
              <w:t xml:space="preserve">€ 18,975.00</w:t>
            </w:r>
          </w:p>
        </w:tc>
      </w:tr>
      <w:tr>
        <w:tc>
          <w:tcPr/>
          <w:p>
            <w:pPr>
              <w:pStyle w:val="Compact"/>
              <w:jc w:val="left"/>
            </w:pPr>
            <w:r>
              <w:t xml:space="preserve">VAT (Mehrwertsteuer) at 19%</w:t>
            </w:r>
          </w:p>
        </w:tc>
        <w:tc>
          <w:tcPr/>
          <w:p>
            <w:pPr>
              <w:pStyle w:val="Compact"/>
              <w:jc w:val="right"/>
            </w:pPr>
            <w:r>
              <w:t xml:space="preserve">€ 3,605.25</w:t>
            </w:r>
          </w:p>
        </w:tc>
      </w:tr>
      <w:tr>
        <w:tc>
          <w:tcPr/>
          <w:p>
            <w:pPr>
              <w:pStyle w:val="Compact"/>
              <w:jc w:val="left"/>
            </w:pPr>
            <w:r>
              <w:t xml:space="preserve">Grand Total (Gross)</w:t>
            </w:r>
          </w:p>
        </w:tc>
        <w:tc>
          <w:tcPr/>
          <w:p>
            <w:pPr>
              <w:pStyle w:val="Compact"/>
              <w:jc w:val="right"/>
            </w:pPr>
            <w:r>
              <w:t xml:space="preserve">€ 22,580.25</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Deutsche Bank AG, Berlin Branch</w:t>
      </w:r>
    </w:p>
    <w:p>
      <w:pPr>
        <w:pStyle w:val="BodyText"/>
      </w:pPr>
      <w:r>
        <w:rPr>
          <w:bCs/>
          <w:b/>
        </w:rPr>
        <w:t xml:space="preserve">Account Holder:</w:t>
      </w:r>
      <w:r>
        <w:t xml:space="preserve"> </w:t>
      </w:r>
      <w:r>
        <w:t xml:space="preserve">Prof. Dr. Heinrich Müller</w:t>
      </w:r>
    </w:p>
    <w:p>
      <w:pPr>
        <w:pStyle w:val="BodyText"/>
      </w:pPr>
      <w:r>
        <w:rPr>
          <w:bCs/>
          <w:b/>
        </w:rPr>
        <w:t xml:space="preserve">IBAN:</w:t>
      </w:r>
      <w:r>
        <w:t xml:space="preserve"> </w:t>
      </w:r>
      <w:r>
        <w:t xml:space="preserve">DE89 3704 0044 0532 0130 00</w:t>
      </w:r>
    </w:p>
    <w:p>
      <w:pPr>
        <w:pStyle w:val="BodyText"/>
      </w:pPr>
      <w:r>
        <w:rPr>
          <w:bCs/>
          <w:b/>
        </w:rPr>
        <w:t xml:space="preserve">BIC/SWIFT:</w:t>
      </w:r>
      <w:r>
        <w:t xml:space="preserve"> </w:t>
      </w:r>
      <w:r>
        <w:t xml:space="preserve">DEUTDEBBXXX</w:t>
      </w:r>
    </w:p>
    <w:p>
      <w:pPr>
        <w:pStyle w:val="BodyText"/>
      </w:pPr>
      <w:r>
        <w:rPr>
          <w:bCs/>
          <w:b/>
        </w:rPr>
        <w:t xml:space="preserve">Reference (Verwendungszweck):</w:t>
      </w:r>
      <w:r>
        <w:t xml:space="preserve"> </w:t>
      </w:r>
      <w:r>
        <w:t xml:space="preserve">INV-2025-BER-0487 / TU-B-2025-03412</w:t>
      </w:r>
    </w:p>
    <w:p>
      <w:pPr>
        <w:pStyle w:val="BodyText"/>
      </w:pPr>
      <w:r>
        <w:rPr>
          <w:bCs/>
          <w:b/>
        </w:rPr>
        <w:t xml:space="preserve">Payment Terms:</w:t>
      </w:r>
      <w:r>
        <w:t xml:space="preserve"> </w:t>
      </w:r>
      <w:r>
        <w:t xml:space="preserve">Net 30 days from the date of this Invoice. Payment is due no later than 15 July 2025 via bank transfer (SEPA-Überweisung) to the account listed above.</w:t>
      </w:r>
    </w:p>
    <w:p>
      <w:pPr>
        <w:pStyle w:val="BodyText"/>
      </w:pPr>
      <w:r>
        <w:rPr>
          <w:bCs/>
          <w:b/>
        </w:rPr>
        <w:t xml:space="preserve">Penalty for Late Payment:</w:t>
      </w:r>
      <w:r>
        <w:t xml:space="preserve"> </w:t>
      </w:r>
      <w:r>
        <w:t xml:space="preserve">In accordance with § 288 BGB, a default interest of 5 percentage points above the base rate shall apply to overdue amounts. Additionally, the client shall reimburse reasonable costs of dunning (Mahnkosten) in the amount of € 40.00 per reminder.</w:t>
      </w:r>
    </w:p>
    <w:bookmarkEnd w:id="23"/>
    <w:bookmarkStart w:id="24" w:name="additional-notes-and-legal-information"/>
    <w:p>
      <w:pPr>
        <w:pStyle w:val="Heading4"/>
      </w:pPr>
      <w:r>
        <w:t xml:space="preserve">Additional Notes and Legal Information</w:t>
      </w:r>
    </w:p>
    <w:p>
      <w:pPr>
        <w:pStyle w:val="FirstParagraph"/>
      </w:pPr>
      <w:r>
        <w:t xml:space="preserve">This Invoice constitutes a legally binding document under German commercial law (Handelsgesetzbuch, HGB) and the German VAT Act (Umsatzsteuergesetz, UStG). Professor Dr. Heinrich Müller is registered as a self-employed academic consultant (Freiberufler) with the Finanzamt Berlin-Mitte and is subject to the regular VAT rate of 19% as applicable in Germany.</w:t>
      </w:r>
    </w:p>
    <w:p>
      <w:pPr>
        <w:pStyle w:val="BodyText"/>
      </w:pPr>
      <w:r>
        <w:t xml:space="preserve">All services rendered under this Invoice were performed in Berlin, Germany, and are governed by the laws of the Federal Republic of Germany. Any disputes arising from this Invoice or the underlying service agreement shall be subject to the exclusive jurisdiction of the competent courts in Berlin, Germany.</w:t>
      </w:r>
    </w:p>
    <w:p>
      <w:pPr>
        <w:pStyle w:val="BodyText"/>
      </w:pPr>
      <w:r>
        <w:t xml:space="preserve">The Professor confirms that all work described in this Invoice was completed to the satisfaction of the supervising faculty at Technische Universität Berlin and that no outstanding obligations remain. This Invoice is valid for a period of 10 years in accordance with § 257 HGB (document retention requirements for business records in Germany).</w:t>
      </w:r>
    </w:p>
    <w:p>
      <w:pPr>
        <w:pStyle w:val="BodyText"/>
      </w:pPr>
      <w:r>
        <w:t xml:space="preserve">Should the client require a duplicate copy of this Invoice or wish to dispute any line item, written notice must be submitted to the Professor's office at the address listed above within 14 calendar days of receipt. No verbal agreements or modifications to this Invoice shall be valid unless confirmed in writing by both parties.</w:t>
      </w:r>
    </w:p>
    <w:bookmarkEnd w:id="24"/>
    <w:p>
      <w:pPr>
        <w:pStyle w:val="BodyText"/>
      </w:pPr>
      <w:r>
        <w:rPr>
          <w:bCs/>
          <w:b/>
        </w:rPr>
        <w:t xml:space="preserve">Professor Dr. Heinrich Müller</w:t>
      </w:r>
      <w:r>
        <w:t xml:space="preserve"> </w:t>
      </w:r>
      <w:r>
        <w:t xml:space="preserve">– Independent Academic Consultant, Berlin, Germany</w:t>
      </w:r>
      <w:r>
        <w:br/>
      </w:r>
      <w:r>
        <w:t xml:space="preserve">Charlottenstraße 142, 10117 Berlin | Tel: +49 30 5557 8821 | USt-IdNr.: DE 318 442 907</w:t>
      </w:r>
      <w:r>
        <w:br/>
      </w:r>
      <w:r>
        <w:br/>
      </w:r>
      <w:r>
        <w:t xml:space="preserve">This Invoice was generated electronically and is valid without a physical signature pursuant to § 14 Abs. 4 UStG.</w:t>
      </w:r>
      <w:r>
        <w:br/>
      </w:r>
      <w:r>
        <w:t xml:space="preserve">Invoice No. INV-2025-BER-0487 | Issued in Berlin, Germany on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Dr. Heinrich Müller - Berlin, Germany</dc:title>
  <dc:creator/>
  <dc:language>en</dc:language>
  <cp:keywords/>
  <dcterms:created xsi:type="dcterms:W3CDTF">2026-10-10T02:16:38Z</dcterms:created>
  <dcterms:modified xsi:type="dcterms:W3CDTF">2026-10-10T02:16:38Z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