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Dr.</w:t>
      </w:r>
      <w:r>
        <w:t xml:space="preserve"> </w:t>
      </w:r>
      <w:r>
        <w:t xml:space="preserve">Heinrich</w:t>
      </w:r>
      <w:r>
        <w:t xml:space="preserve"> </w:t>
      </w:r>
      <w:r>
        <w:t xml:space="preserve">Müller</w:t>
      </w:r>
      <w:r>
        <w:t xml:space="preserve"> </w:t>
      </w:r>
      <w:r>
        <w:t xml:space="preserve">-</w:t>
      </w:r>
      <w:r>
        <w:t xml:space="preserve"> </w:t>
      </w:r>
      <w:r>
        <w:t xml:space="preserve">Frankfurt,</w:t>
      </w:r>
      <w:r>
        <w:t xml:space="preserve"> </w:t>
      </w:r>
      <w:r>
        <w:t xml:space="preserve">Germany</w:t>
      </w:r>
    </w:p>
    <w:bookmarkStart w:id="20" w:name="invoice"/>
    <w:p>
      <w:pPr>
        <w:pStyle w:val="Heading1"/>
      </w:pPr>
      <w:r>
        <w:t xml:space="preserve">INVOICE</w:t>
      </w:r>
    </w:p>
    <w:p>
      <w:pPr>
        <w:pStyle w:val="FirstParagraph"/>
      </w:pPr>
      <w:r>
        <w:t xml:space="preserve">Invoice No.: INV-2025-FRA-0047</w:t>
      </w:r>
    </w:p>
    <w:p>
      <w:pPr>
        <w:pStyle w:val="BodyText"/>
      </w:pPr>
      <w:r>
        <w:t xml:space="preserve">Official Academic Invoice – Frankfurt, Germany</w:t>
      </w:r>
    </w:p>
    <w:bookmarkEnd w:id="20"/>
    <w:bookmarkStart w:id="21" w:name="professor-dr.-heinrich-müller"/>
    <w:p>
      <w:pPr>
        <w:pStyle w:val="Heading2"/>
      </w:pPr>
      <w:r>
        <w:t xml:space="preserve">Professor Dr. Heinrich Müller</w:t>
      </w:r>
    </w:p>
    <w:p>
      <w:pPr>
        <w:pStyle w:val="FirstParagraph"/>
      </w:pPr>
      <w:r>
        <w:t xml:space="preserve">Chair of Applied Economics &amp; Business Law</w:t>
      </w:r>
    </w:p>
    <w:p>
      <w:pPr>
        <w:pStyle w:val="BodyText"/>
      </w:pPr>
      <w:r>
        <w:t xml:space="preserve">Goethe-Universität Frankfurt am Main</w:t>
      </w:r>
    </w:p>
    <w:p>
      <w:pPr>
        <w:pStyle w:val="BodyText"/>
      </w:pPr>
      <w:r>
        <w:t xml:space="preserve">Theodor-W.-Adorno-Platz 5</w:t>
      </w:r>
    </w:p>
    <w:p>
      <w:pPr>
        <w:pStyle w:val="BodyText"/>
      </w:pPr>
      <w:r>
        <w:t xml:space="preserve">60323 Frankfurt am Main, Germany</w:t>
      </w:r>
    </w:p>
    <w:p>
      <w:pPr>
        <w:pStyle w:val="BodyText"/>
      </w:pPr>
      <w:r>
        <w:t xml:space="preserve">Tel: +49 (0)69 798-22456</w:t>
      </w:r>
    </w:p>
    <w:p>
      <w:pPr>
        <w:pStyle w:val="BodyText"/>
      </w:pPr>
      <w:r>
        <w:t xml:space="preserve">Email: h.mueller@em.uni-frankfurt.de</w:t>
      </w:r>
    </w:p>
    <w:p>
      <w:pPr>
        <w:pStyle w:val="BodyText"/>
      </w:pPr>
      <w:r>
        <w:t xml:space="preserve">VAT ID (USt-IdNr.): DE 294 567 812</w:t>
      </w:r>
    </w:p>
    <w:bookmarkEnd w:id="21"/>
    <w:p>
      <w:pPr>
        <w:pStyle w:val="BodyText"/>
      </w:pPr>
      <w:r>
        <w:t xml:space="preserve">Invoice Date:</w:t>
      </w:r>
      <w:r>
        <w:t xml:space="preserve"> </w:t>
      </w:r>
      <w:r>
        <w:t xml:space="preserve">14 June 2025</w:t>
      </w:r>
    </w:p>
    <w:p>
      <w:pPr>
        <w:pStyle w:val="BodyText"/>
      </w:pPr>
      <w:r>
        <w:t xml:space="preserve">Due Date:</w:t>
      </w:r>
      <w:r>
        <w:t xml:space="preserve"> </w:t>
      </w:r>
      <w:r>
        <w:t xml:space="preserve">14 July 2025</w:t>
      </w:r>
    </w:p>
    <w:p>
      <w:pPr>
        <w:pStyle w:val="BodyText"/>
      </w:pPr>
      <w:r>
        <w:t xml:space="preserve">Service Period:</w:t>
      </w:r>
      <w:r>
        <w:t xml:space="preserve"> </w:t>
      </w:r>
      <w:r>
        <w:t xml:space="preserve">01 March 2025 – 31 May 2025</w:t>
      </w:r>
    </w:p>
    <w:bookmarkStart w:id="22" w:name="issued-by-service-provider"/>
    <w:p>
      <w:pPr>
        <w:pStyle w:val="Heading3"/>
      </w:pPr>
      <w:r>
        <w:t xml:space="preserve">Issued By (Service Provider)</w:t>
      </w:r>
    </w:p>
    <w:p>
      <w:pPr>
        <w:pStyle w:val="FirstParagraph"/>
      </w:pPr>
      <w:r>
        <w:rPr>
          <w:bCs/>
          <w:b/>
        </w:rPr>
        <w:t xml:space="preserve">Professor Dr. Heinrich Müller</w:t>
      </w:r>
    </w:p>
    <w:p>
      <w:pPr>
        <w:pStyle w:val="BodyText"/>
      </w:pPr>
      <w:r>
        <w:t xml:space="preserve">Independent Academic Consultant</w:t>
      </w:r>
    </w:p>
    <w:p>
      <w:pPr>
        <w:pStyle w:val="BodyText"/>
      </w:pPr>
      <w:r>
        <w:t xml:space="preserve">Frankfurt am Main, Germany</w:t>
      </w:r>
    </w:p>
    <w:p>
      <w:pPr>
        <w:pStyle w:val="BodyText"/>
      </w:pPr>
      <w:r>
        <w:t xml:space="preserve">Registered at: Amtsgericht Frankfurt am Main</w:t>
      </w:r>
    </w:p>
    <w:p>
      <w:pPr>
        <w:pStyle w:val="BodyText"/>
      </w:pPr>
      <w:r>
        <w:t xml:space="preserve">HRB No.: 123 456</w:t>
      </w:r>
    </w:p>
    <w:bookmarkEnd w:id="22"/>
    <w:bookmarkStart w:id="23" w:name="issued-to-client"/>
    <w:p>
      <w:pPr>
        <w:pStyle w:val="Heading3"/>
      </w:pPr>
      <w:r>
        <w:t xml:space="preserve">Issued To (Client)</w:t>
      </w:r>
    </w:p>
    <w:p>
      <w:pPr>
        <w:pStyle w:val="FirstParagraph"/>
      </w:pPr>
      <w:r>
        <w:rPr>
          <w:bCs/>
          <w:b/>
        </w:rPr>
        <w:t xml:space="preserve">Frankfurt Financial Services GmbH</w:t>
      </w:r>
    </w:p>
    <w:p>
      <w:pPr>
        <w:pStyle w:val="BodyText"/>
      </w:pPr>
      <w:r>
        <w:t xml:space="preserve">Attn: Dr. Sabine Krüger, Head of Corporate Training</w:t>
      </w:r>
    </w:p>
    <w:p>
      <w:pPr>
        <w:pStyle w:val="BodyText"/>
      </w:pPr>
      <w:r>
        <w:t xml:space="preserve">Bockenheimer Landstraße 24</w:t>
      </w:r>
    </w:p>
    <w:p>
      <w:pPr>
        <w:pStyle w:val="BodyText"/>
      </w:pPr>
      <w:r>
        <w:t xml:space="preserve">60323 Frankfurt am Main, Germany</w:t>
      </w:r>
    </w:p>
    <w:p>
      <w:pPr>
        <w:pStyle w:val="BodyText"/>
      </w:pPr>
      <w:r>
        <w:t xml:space="preserve">VAT ID: DE 812 345 679</w:t>
      </w:r>
    </w:p>
    <w:bookmarkEnd w:id="23"/>
    <w:p>
      <w:pPr>
        <w:pStyle w:val="BodyText"/>
      </w:pPr>
      <w:r>
        <w:t xml:space="preserve">Description of Services Rendered by Professor Müller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Executive seminar on "Regulatory Compliance in European Banking" delivered by Professor Müller at the client's headquarters in Frankfurt, Germany. Includes preparation of lecture materials, case studies, and post-session Q&amp;A.</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19%</w:t>
            </w:r>
          </w:p>
        </w:tc>
      </w:tr>
      <w:tr>
        <w:tc>
          <w:tcPr/>
          <w:p>
            <w:pPr>
              <w:pStyle w:val="Compact"/>
              <w:jc w:val="left"/>
            </w:pPr>
            <w:r>
              <w:t xml:space="preserve">02</w:t>
            </w:r>
          </w:p>
        </w:tc>
        <w:tc>
          <w:tcPr/>
          <w:p>
            <w:pPr>
              <w:pStyle w:val="Compact"/>
              <w:jc w:val="left"/>
            </w:pPr>
            <w:r>
              <w:t xml:space="preserve">Individual academic consulting sessions for the client's senior management team regarding the implementation of the new EU AI Act. Professor Müller provided strategic guidance, risk assessment frameworks, and compliance roadmaps over the service period in Frankfurt.</w:t>
            </w:r>
          </w:p>
        </w:tc>
        <w:tc>
          <w:tcPr/>
          <w:p>
            <w:pPr>
              <w:pStyle w:val="Compact"/>
              <w:jc w:val="left"/>
            </w:pPr>
            <w:r>
              <w:t xml:space="preserve">12 hours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19%</w:t>
            </w:r>
          </w:p>
        </w:tc>
      </w:tr>
      <w:tr>
        <w:tc>
          <w:tcPr/>
          <w:p>
            <w:pPr>
              <w:pStyle w:val="Compact"/>
              <w:jc w:val="left"/>
            </w:pPr>
            <w:r>
              <w:t xml:space="preserve">03</w:t>
            </w:r>
          </w:p>
        </w:tc>
        <w:tc>
          <w:tcPr/>
          <w:p>
            <w:pPr>
              <w:pStyle w:val="Compact"/>
              <w:jc w:val="left"/>
            </w:pPr>
            <w:r>
              <w:t xml:space="preserve">Authorship and peer review of a white paper titled "Sustainable Finance in the Frankfurt Financial Hub: A Professor's Perspective on 2025 Regulatory Shifts." The document was prepared exclusively for the client's annual investor relations publication.</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19%</w:t>
            </w:r>
          </w:p>
        </w:tc>
      </w:tr>
      <w:tr>
        <w:tc>
          <w:tcPr/>
          <w:p>
            <w:pPr>
              <w:pStyle w:val="Compact"/>
              <w:jc w:val="left"/>
            </w:pPr>
            <w:r>
              <w:t xml:space="preserve">04</w:t>
            </w:r>
          </w:p>
        </w:tc>
        <w:tc>
          <w:tcPr/>
          <w:p>
            <w:pPr>
              <w:pStyle w:val="Compact"/>
              <w:jc w:val="left"/>
            </w:pPr>
            <w:r>
              <w:t xml:space="preserve">Mentorship and supervision of two junior analysts from the client's Frankfurt office, conducted in accordance with the academic standards upheld by Professor Müller at Goethe-Universität. Includes weekly one-on-one sessions and progress evaluations.</w:t>
            </w:r>
          </w:p>
        </w:tc>
        <w:tc>
          <w:tcPr/>
          <w:p>
            <w:pPr>
              <w:pStyle w:val="Compact"/>
              <w:jc w:val="left"/>
            </w:pPr>
            <w:r>
              <w:t xml:space="preserve">10 weeks</w:t>
            </w:r>
          </w:p>
        </w:tc>
        <w:tc>
          <w:tcPr/>
          <w:p>
            <w:pPr>
              <w:pStyle w:val="Compact"/>
              <w:jc w:val="left"/>
            </w:pPr>
            <w:r>
              <w:t xml:space="preserve">480.00</w:t>
            </w:r>
          </w:p>
        </w:tc>
        <w:tc>
          <w:tcPr/>
          <w:p>
            <w:pPr>
              <w:pStyle w:val="Compact"/>
              <w:jc w:val="left"/>
            </w:pPr>
            <w:r>
              <w:t xml:space="preserve">4,800.00</w:t>
            </w:r>
          </w:p>
        </w:tc>
        <w:tc>
          <w:tcPr/>
          <w:p>
            <w:pPr>
              <w:pStyle w:val="Compact"/>
              <w:jc w:val="left"/>
            </w:pPr>
            <w:r>
              <w:t xml:space="preserve">19%</w:t>
            </w:r>
          </w:p>
        </w:tc>
      </w:tr>
      <w:tr>
        <w:tc>
          <w:tcPr/>
          <w:p>
            <w:pPr>
              <w:pStyle w:val="Compact"/>
              <w:jc w:val="left"/>
            </w:pPr>
            <w:r>
              <w:t xml:space="preserve">05</w:t>
            </w:r>
          </w:p>
        </w:tc>
        <w:tc>
          <w:tcPr/>
          <w:p>
            <w:pPr>
              <w:pStyle w:val="Compact"/>
              <w:jc w:val="left"/>
            </w:pPr>
            <w:r>
              <w:t xml:space="preserve">Travel and accommodation expenses incurred by Professor Müller for on-site engagements at the client's premises in Frankfurt, Germany, as well as a single overnight stay at a partner institution in nearby Darmstadt for a collaborative research workshop.</w:t>
            </w:r>
          </w:p>
        </w:tc>
        <w:tc>
          <w:tcPr/>
          <w:p>
            <w:pPr>
              <w:pStyle w:val="Compact"/>
              <w:jc w:val="left"/>
            </w:pPr>
            <w:r>
              <w:t xml:space="preserve">1 lump sum</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21,520.00 EUR</w:t>
            </w:r>
          </w:p>
        </w:tc>
      </w:tr>
      <w:tr>
        <w:tc>
          <w:tcPr/>
          <w:p>
            <w:pPr>
              <w:pStyle w:val="Compact"/>
              <w:jc w:val="left"/>
            </w:pPr>
            <w:r>
              <w:t xml:space="preserve">VAT (Mehrwertsteuer) at 19%</w:t>
            </w:r>
          </w:p>
        </w:tc>
        <w:tc>
          <w:tcPr/>
          <w:p>
            <w:pPr>
              <w:pStyle w:val="Compact"/>
              <w:jc w:val="right"/>
            </w:pPr>
            <w:r>
              <w:t xml:space="preserve">4,088.80 EUR</w:t>
            </w:r>
          </w:p>
        </w:tc>
      </w:tr>
      <w:tr>
        <w:tc>
          <w:tcPr/>
          <w:p>
            <w:pPr>
              <w:pStyle w:val="Compact"/>
              <w:jc w:val="left"/>
            </w:pPr>
            <w:r>
              <w:t xml:space="preserve">Grand Total (Gross)</w:t>
            </w:r>
          </w:p>
        </w:tc>
        <w:tc>
          <w:tcPr/>
          <w:p>
            <w:pPr>
              <w:pStyle w:val="Compact"/>
              <w:jc w:val="right"/>
            </w:pPr>
            <w:r>
              <w:t xml:space="preserve">25,608.80 EUR</w:t>
            </w:r>
          </w:p>
        </w:tc>
      </w:tr>
    </w:tbl>
    <w:p>
      <w:pPr>
        <w:pStyle w:val="BodyText"/>
      </w:pPr>
      <w:r>
        <w:t xml:space="preserve">Payment Terms and Banking Details</w:t>
      </w:r>
    </w:p>
    <w:p>
      <w:pPr>
        <w:pStyle w:val="BodyText"/>
      </w:pPr>
      <w:r>
        <w:rPr>
          <w:bCs/>
          <w:b/>
        </w:rPr>
        <w:t xml:space="preserve">Payment Method:</w:t>
      </w:r>
      <w:r>
        <w:t xml:space="preserve"> </w:t>
      </w:r>
      <w:r>
        <w:t xml:space="preserve">Bank transfer (SEPA-Überweisung)</w:t>
      </w:r>
    </w:p>
    <w:p>
      <w:pPr>
        <w:pStyle w:val="BodyText"/>
      </w:pPr>
      <w:r>
        <w:rPr>
          <w:bCs/>
          <w:b/>
        </w:rPr>
        <w:t xml:space="preserve">Account Holder:</w:t>
      </w:r>
      <w:r>
        <w:t xml:space="preserve"> </w:t>
      </w:r>
      <w:r>
        <w:t xml:space="preserve">Professor Dr. Heinrich Müller</w:t>
      </w:r>
    </w:p>
    <w:p>
      <w:pPr>
        <w:pStyle w:val="BodyText"/>
      </w:pPr>
      <w:r>
        <w:rPr>
          <w:bCs/>
          <w:b/>
        </w:rPr>
        <w:t xml:space="preserve">Bank:</w:t>
      </w:r>
      <w:r>
        <w:t xml:space="preserve"> </w:t>
      </w:r>
      <w:r>
        <w:t xml:space="preserve">Commerzbank AG, Frankfurt am Main, Germany</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INV-2025-FRA-0047 / Professor Müller / Frankfurt</w:t>
      </w:r>
    </w:p>
    <w:p>
      <w:pPr>
        <w:pStyle w:val="BodyText"/>
      </w:pPr>
      <w:r>
        <w:rPr>
          <w:bCs/>
          <w:b/>
        </w:rPr>
        <w:t xml:space="preserve">Terms:</w:t>
      </w:r>
      <w:r>
        <w:t xml:space="preserve"> </w:t>
      </w:r>
      <w:r>
        <w:t xml:space="preserve">Payment is due within 30 calendar days of the invoice date. In the event of late payment, statutory interest of 8 percentage points above the base rate (Basiszinssatz) as defined under § 288 of the German Civil Code (BGB) shall apply. The client is hereby reminded that this invoice constitutes a legally binding document under German commercial law (HGB).</w:t>
      </w:r>
    </w:p>
    <w:p>
      <w:pPr>
        <w:pStyle w:val="BodyText"/>
      </w:pPr>
      <w:r>
        <w:t xml:space="preserve">Additional Notes and Legal Declarations</w:t>
      </w:r>
    </w:p>
    <w:p>
      <w:pPr>
        <w:pStyle w:val="BodyText"/>
      </w:pPr>
      <w:r>
        <w:t xml:space="preserve">1. This invoice is issued in accordance with the German Invoice Regulation (Rechnungssteuerungsgesetz – RStEG) and the applicable provisions of the German VAT Act (Umsatzsteuergesetz – UStG). All services described herein were rendered by Professor Dr. Heinrich Müller in his capacity as an independent academic consultant operating from Frankfurt, Germany.</w:t>
      </w:r>
    </w:p>
    <w:p>
      <w:pPr>
        <w:pStyle w:val="BodyText"/>
      </w:pPr>
      <w:r>
        <w:t xml:space="preserve">2. The Professor confirms that all intellectual property rights pertaining to the white paper (Ref. 03) are transferred to the client upon full settlement of this invoice. All other materials, frameworks, and methodologies remain the proprietary intellectual property of Professor Müller and may not be reproduced or distributed without prior written consent.</w:t>
      </w:r>
    </w:p>
    <w:p>
      <w:pPr>
        <w:pStyle w:val="BodyText"/>
      </w:pPr>
      <w:r>
        <w:t xml:space="preserve">3. This invoice is valid for a period of 12 months from the date of issue. The client is requested to retain this document for a minimum of ten (10) years in compliance with German tax record-keeping obligations (Ablagefrist gemäß § 147 AO).</w:t>
      </w:r>
    </w:p>
    <w:p>
      <w:pPr>
        <w:pStyle w:val="BodyText"/>
      </w:pPr>
      <w:r>
        <w:t xml:space="preserve">4. Should the client wish to dispute any line item on this invoice, a written notice must be submitted to Professor Müller's office in Frankfurt within fourteen (14) days of receipt. Failure to do so shall constitute acceptance of the invoice in its entirety.</w:t>
      </w:r>
    </w:p>
    <w:p>
      <w:pPr>
        <w:pStyle w:val="BodyText"/>
      </w:pPr>
      <w:r>
        <w:t xml:space="preserve">5. This invoice is issued in the English language for the convenience of the client. In the event of any discrepancy between the English and German versions, the German version shall prevail. A German-language copy (Rechnung auf Deutsch) is available upon request.</w:t>
      </w:r>
    </w:p>
    <w:p>
      <w:pPr>
        <w:pStyle w:val="BodyText"/>
      </w:pPr>
      <w:r>
        <w:t xml:space="preserve">6. The services outlined in this invoice were performed in Frankfurt, Germany, and are subject to the jurisdiction of the local courts (Amtsgericht Frankfurt am Main) and the applicable laws of the Federal Republic of Germany.</w:t>
      </w:r>
    </w:p>
    <w:p>
      <w:pPr>
        <w:pStyle w:val="BodyText"/>
      </w:pPr>
      <w:r>
        <w:rPr>
          <w:bCs/>
          <w:b/>
        </w:rPr>
        <w:t xml:space="preserve">Professor Dr. Heinrich Müller</w:t>
      </w:r>
      <w:r>
        <w:t xml:space="preserve"> </w:t>
      </w:r>
      <w:r>
        <w:t xml:space="preserve">– Independent Academic Consultant | Frankfurt am Main, Germany</w:t>
      </w:r>
    </w:p>
    <w:p>
      <w:pPr>
        <w:pStyle w:val="BodyText"/>
      </w:pPr>
      <w:r>
        <w:t xml:space="preserve">Member of the German Association of University Professors (Vereinigung der Professoren) | Tax Office: Finanzamt Frankfurt am Main</w:t>
      </w:r>
    </w:p>
    <w:p>
      <w:pPr>
        <w:pStyle w:val="BodyText"/>
      </w:pPr>
      <w:r>
        <w:t xml:space="preserve">This invoice was generated electronically and is valid without a physical signature pursuant to § 14 (3) UStG.</w:t>
      </w:r>
    </w:p>
    <w:p>
      <w:pPr>
        <w:pStyle w:val="BodyText"/>
      </w:pPr>
      <w:r>
        <w:t xml:space="preserve">Thank you for your business. We look forward to continuing our professional collaboration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Dr. Heinrich Müller - Frankfurt, Germany</dc:title>
  <dc:creator/>
  <dc:language>en</dc:language>
  <cp:keywords/>
  <dcterms:created xsi:type="dcterms:W3CDTF">2026-10-10T06:24:57Z</dcterms:created>
  <dcterms:modified xsi:type="dcterms:W3CDTF">2026-10-10T06:24:57Z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