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Professor</w:t>
      </w:r>
      <w:r>
        <w:t xml:space="preserve"> </w:t>
      </w:r>
      <w:r>
        <w:t xml:space="preserve">Academic</w:t>
      </w:r>
      <w:r>
        <w:t xml:space="preserve"> </w:t>
      </w:r>
      <w:r>
        <w:t xml:space="preserve">Services</w:t>
      </w:r>
      <w:r>
        <w:t xml:space="preserve"> </w:t>
      </w:r>
      <w:r>
        <w:t xml:space="preserve">-</w:t>
      </w:r>
      <w:r>
        <w:t xml:space="preserve"> </w:t>
      </w:r>
      <w:r>
        <w:t xml:space="preserve">Indonesia</w:t>
      </w:r>
      <w:r>
        <w:t xml:space="preserve"> </w:t>
      </w:r>
      <w:r>
        <w:t xml:space="preserve">Jakarta</w:t>
      </w:r>
    </w:p>
    <w:p>
      <w:pPr>
        <w:pStyle w:val="FirstParagraph"/>
      </w:pPr>
      <w:r>
        <w:t xml:space="preserve">Invoice</w:t>
      </w:r>
    </w:p>
    <w:p>
      <w:pPr>
        <w:pStyle w:val="BodyText"/>
      </w:pPr>
      <w:r>
        <w:t xml:space="preserve">Academic &amp; Research Services</w:t>
      </w:r>
    </w:p>
    <w:p>
      <w:pPr>
        <w:pStyle w:val="BodyText"/>
      </w:pPr>
      <w:r>
        <w:rPr>
          <w:bCs/>
          <w:b/>
        </w:rPr>
        <w:t xml:space="preserve">Invoice No.:</w:t>
      </w:r>
      <w:r>
        <w:t xml:space="preserve"> </w:t>
      </w:r>
      <w:r>
        <w:t xml:space="preserve">INV-JKT-2025-0047</w:t>
      </w:r>
    </w:p>
    <w:p>
      <w:pPr>
        <w:pStyle w:val="BodyText"/>
      </w:pPr>
      <w:r>
        <w:rPr>
          <w:bCs/>
          <w:b/>
        </w:rPr>
        <w:t xml:space="preserve">Issue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Reference:</w:t>
      </w:r>
      <w:r>
        <w:t xml:space="preserve"> </w:t>
      </w:r>
      <w:r>
        <w:t xml:space="preserve">PRF-ACD-2025-Q2</w:t>
      </w:r>
    </w:p>
    <w:p>
      <w:pPr>
        <w:pStyle w:val="BodyText"/>
      </w:pPr>
      <w:r>
        <w:t xml:space="preserve">PENDING PAYMENT</w:t>
      </w:r>
    </w:p>
    <w:bookmarkStart w:id="20" w:name="issued-by-professor"/>
    <w:p>
      <w:pPr>
        <w:pStyle w:val="Heading3"/>
      </w:pPr>
      <w:r>
        <w:t xml:space="preserve">Issued By (Professor)</w:t>
      </w:r>
    </w:p>
    <w:p>
      <w:pPr>
        <w:pStyle w:val="FirstParagraph"/>
      </w:pPr>
      <w:r>
        <w:t xml:space="preserve">Professor Dr. Ir. Hendra Wijaya, M.Sc.</w:t>
      </w:r>
    </w:p>
    <w:p>
      <w:pPr>
        <w:pStyle w:val="BodyText"/>
      </w:pPr>
      <w:r>
        <w:t xml:space="preserve">Senior Academic Consultant &amp; Research Director</w:t>
      </w:r>
    </w:p>
    <w:p>
      <w:pPr>
        <w:pStyle w:val="BodyText"/>
      </w:pPr>
      <w:r>
        <w:t xml:space="preserve">Faculty of Engineering and Technology</w:t>
      </w:r>
    </w:p>
    <w:p>
      <w:pPr>
        <w:pStyle w:val="BodyText"/>
      </w:pPr>
      <w:r>
        <w:t xml:space="preserve">Universitas Indonesia Jakarta</w:t>
      </w:r>
    </w:p>
    <w:p>
      <w:pPr>
        <w:pStyle w:val="BodyText"/>
      </w:pPr>
      <w:r>
        <w:t xml:space="preserve">Jl. Salemba Raya No. 45, Menteng</w:t>
      </w:r>
    </w:p>
    <w:p>
      <w:pPr>
        <w:pStyle w:val="BodyText"/>
      </w:pPr>
      <w:r>
        <w:t xml:space="preserve">Jakarta Pusat, DKI Jakarta 10430</w:t>
      </w:r>
    </w:p>
    <w:p>
      <w:pPr>
        <w:pStyle w:val="BodyText"/>
      </w:pPr>
      <w:r>
        <w:t xml:space="preserve">Indonesia</w:t>
      </w:r>
    </w:p>
    <w:p>
      <w:pPr>
        <w:pStyle w:val="BodyText"/>
      </w:pPr>
      <w:r>
        <w:t xml:space="preserve">Tel: +62-21-570-1234</w:t>
      </w:r>
    </w:p>
    <w:p>
      <w:pPr>
        <w:pStyle w:val="BodyText"/>
      </w:pPr>
      <w:r>
        <w:t xml:space="preserve">Email: hendra.wijaya@uijakarta.ac.id</w:t>
      </w:r>
    </w:p>
    <w:p>
      <w:pPr>
        <w:pStyle w:val="BodyText"/>
      </w:pPr>
      <w:r>
        <w:t xml:space="preserve">NPWP: 02.345.678.9-011.000</w:t>
      </w:r>
    </w:p>
    <w:bookmarkEnd w:id="20"/>
    <w:bookmarkStart w:id="21" w:name="billed-to"/>
    <w:p>
      <w:pPr>
        <w:pStyle w:val="Heading3"/>
      </w:pPr>
      <w:r>
        <w:t xml:space="preserve">Billed To</w:t>
      </w:r>
    </w:p>
    <w:p>
      <w:pPr>
        <w:pStyle w:val="FirstParagraph"/>
      </w:pPr>
      <w:r>
        <w:t xml:space="preserve">PT Nusantara Teknologi Maju</w:t>
      </w:r>
    </w:p>
    <w:p>
      <w:pPr>
        <w:pStyle w:val="BodyText"/>
      </w:pPr>
      <w:r>
        <w:t xml:space="preserve">Attn: Mr. Budi Santoso, Director of R&amp;D</w:t>
      </w:r>
    </w:p>
    <w:p>
      <w:pPr>
        <w:pStyle w:val="BodyText"/>
      </w:pPr>
      <w:r>
        <w:t xml:space="preserve">Jl. Jend. Sudirman Kav. 52-53</w:t>
      </w:r>
    </w:p>
    <w:p>
      <w:pPr>
        <w:pStyle w:val="BodyText"/>
      </w:pPr>
      <w:r>
        <w:t xml:space="preserve">Setiabudi, Jakarta Selatan</w:t>
      </w:r>
    </w:p>
    <w:p>
      <w:pPr>
        <w:pStyle w:val="BodyText"/>
      </w:pPr>
      <w:r>
        <w:t xml:space="preserve">DKI Jakarta 12190</w:t>
      </w:r>
    </w:p>
    <w:p>
      <w:pPr>
        <w:pStyle w:val="BodyText"/>
      </w:pPr>
      <w:r>
        <w:t xml:space="preserve">Indonesia</w:t>
      </w:r>
    </w:p>
    <w:p>
      <w:pPr>
        <w:pStyle w:val="BodyText"/>
      </w:pPr>
      <w:r>
        <w:t xml:space="preserve">Tel: +62-21-520-5678</w:t>
      </w:r>
    </w:p>
    <w:p>
      <w:pPr>
        <w:pStyle w:val="BodyText"/>
      </w:pPr>
      <w:r>
        <w:t xml:space="preserve">Email: procurement@nusantatek.id</w:t>
      </w:r>
    </w:p>
    <w:p>
      <w:pPr>
        <w:pStyle w:val="BodyText"/>
      </w:pPr>
      <w:r>
        <w:t xml:space="preserve">NPWP: 01.234.567.8-051.000</w:t>
      </w:r>
    </w:p>
    <w:bookmarkEnd w:id="21"/>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Services</w:t>
            </w:r>
          </w:p>
        </w:tc>
        <w:tc>
          <w:tcPr/>
          <w:p>
            <w:pPr>
              <w:pStyle w:val="Compact"/>
              <w:jc w:val="left"/>
            </w:pPr>
            <w:r>
              <w:t xml:space="preserve">Date</w:t>
            </w:r>
          </w:p>
        </w:tc>
        <w:tc>
          <w:tcPr/>
          <w:p>
            <w:pPr>
              <w:pStyle w:val="Compact"/>
              <w:jc w:val="left"/>
            </w:pPr>
            <w:r>
              <w:t xml:space="preserve">Qty</w:t>
            </w:r>
          </w:p>
        </w:tc>
        <w:tc>
          <w:tcPr/>
          <w:p>
            <w:pPr>
              <w:pStyle w:val="Compact"/>
              <w:jc w:val="left"/>
            </w:pPr>
            <w:r>
              <w:t xml:space="preserve">Rate (IDR)</w:t>
            </w:r>
          </w:p>
        </w:tc>
        <w:tc>
          <w:tcPr/>
          <w:p>
            <w:pPr>
              <w:pStyle w:val="Compact"/>
              <w:jc w:val="left"/>
            </w:pPr>
            <w:r>
              <w:t xml:space="preserve">Amount (IDR)</w:t>
            </w:r>
          </w:p>
        </w:tc>
      </w:tr>
      <w:tr>
        <w:tc>
          <w:tcPr/>
          <w:p>
            <w:pPr>
              <w:pStyle w:val="Compact"/>
              <w:jc w:val="left"/>
            </w:pPr>
            <w:r>
              <w:t xml:space="preserve">01</w:t>
            </w:r>
          </w:p>
        </w:tc>
        <w:tc>
          <w:tcPr/>
          <w:p>
            <w:pPr>
              <w:pStyle w:val="Compact"/>
              <w:jc w:val="left"/>
            </w:pPr>
            <w:r>
              <w:t xml:space="preserve">Professor-led academic consultation on advanced materials engineering for the development of next-generation composite structures. Includes two on-site visits to the PT Nusantara Teknologi Maju laboratory facility in Indonesia Jakarta.</w:t>
            </w:r>
          </w:p>
        </w:tc>
        <w:tc>
          <w:tcPr/>
          <w:p>
            <w:pPr>
              <w:pStyle w:val="Compact"/>
              <w:jc w:val="left"/>
            </w:pPr>
            <w:r>
              <w:t xml:space="preserve">02 Jun 2025</w:t>
            </w:r>
          </w:p>
        </w:tc>
        <w:tc>
          <w:tcPr/>
          <w:p>
            <w:pPr>
              <w:pStyle w:val="Compact"/>
              <w:jc w:val="left"/>
            </w:pPr>
            <w:r>
              <w:t xml:space="preserve">2 days</w:t>
            </w:r>
          </w:p>
        </w:tc>
        <w:tc>
          <w:tcPr/>
          <w:p>
            <w:pPr>
              <w:pStyle w:val="Compact"/>
              <w:jc w:val="left"/>
            </w:pPr>
            <w:r>
              <w:t xml:space="preserve">15,000,000</w:t>
            </w:r>
          </w:p>
        </w:tc>
        <w:tc>
          <w:tcPr/>
          <w:p>
            <w:pPr>
              <w:pStyle w:val="Compact"/>
              <w:jc w:val="left"/>
            </w:pPr>
            <w:r>
              <w:t xml:space="preserve">30,000,000</w:t>
            </w:r>
          </w:p>
        </w:tc>
      </w:tr>
      <w:tr>
        <w:tc>
          <w:tcPr/>
          <w:p>
            <w:pPr>
              <w:pStyle w:val="Compact"/>
              <w:jc w:val="left"/>
            </w:pPr>
            <w:r>
              <w:t xml:space="preserve">02</w:t>
            </w:r>
          </w:p>
        </w:tc>
        <w:tc>
          <w:tcPr/>
          <w:p>
            <w:pPr>
              <w:pStyle w:val="Compact"/>
              <w:jc w:val="left"/>
            </w:pPr>
            <w:r>
              <w:t xml:space="preserve">Professor Dr. Wijaya's research supervision and technical review of the proprietary thermal insulation prototype. Deliverable: comprehensive 45-page technical assessment report with recommendations for iterative design improvements.</w:t>
            </w:r>
          </w:p>
        </w:tc>
        <w:tc>
          <w:tcPr/>
          <w:p>
            <w:pPr>
              <w:pStyle w:val="Compact"/>
              <w:jc w:val="left"/>
            </w:pPr>
            <w:r>
              <w:t xml:space="preserve">05 Jun 2025</w:t>
            </w:r>
          </w:p>
        </w:tc>
        <w:tc>
          <w:tcPr/>
          <w:p>
            <w:pPr>
              <w:pStyle w:val="Compact"/>
              <w:jc w:val="left"/>
            </w:pPr>
            <w:r>
              <w:t xml:space="preserve">1 report</w:t>
            </w:r>
          </w:p>
        </w:tc>
        <w:tc>
          <w:tcPr/>
          <w:p>
            <w:pPr>
              <w:pStyle w:val="Compact"/>
              <w:jc w:val="left"/>
            </w:pPr>
            <w:r>
              <w:t xml:space="preserve">25,000,000</w:t>
            </w:r>
          </w:p>
        </w:tc>
        <w:tc>
          <w:tcPr/>
          <w:p>
            <w:pPr>
              <w:pStyle w:val="Compact"/>
              <w:jc w:val="left"/>
            </w:pPr>
            <w:r>
              <w:t xml:space="preserve">25,000,000</w:t>
            </w:r>
          </w:p>
        </w:tc>
      </w:tr>
      <w:tr>
        <w:tc>
          <w:tcPr/>
          <w:p>
            <w:pPr>
              <w:pStyle w:val="Compact"/>
              <w:jc w:val="left"/>
            </w:pPr>
            <w:r>
              <w:t xml:space="preserve">03</w:t>
            </w:r>
          </w:p>
        </w:tc>
        <w:tc>
          <w:tcPr/>
          <w:p>
            <w:pPr>
              <w:pStyle w:val="Compact"/>
              <w:jc w:val="left"/>
            </w:pPr>
            <w:r>
              <w:t xml:space="preserve">Specialized lecture and workshop delivery by the Professor for 30 senior engineers at the Indonesia Jakarta corporate training center. Topic: "Applied Computational Fluid Dynamics in Industrial Manufacturing." Duration: 8 hours including Q&amp;A session.</w:t>
            </w:r>
          </w:p>
        </w:tc>
        <w:tc>
          <w:tcPr/>
          <w:p>
            <w:pPr>
              <w:pStyle w:val="Compact"/>
              <w:jc w:val="left"/>
            </w:pPr>
            <w:r>
              <w:t xml:space="preserve">10 Jun 2025</w:t>
            </w:r>
          </w:p>
        </w:tc>
        <w:tc>
          <w:tcPr/>
          <w:p>
            <w:pPr>
              <w:pStyle w:val="Compact"/>
              <w:jc w:val="left"/>
            </w:pPr>
            <w:r>
              <w:t xml:space="preserve">1 session</w:t>
            </w:r>
          </w:p>
        </w:tc>
        <w:tc>
          <w:tcPr/>
          <w:p>
            <w:pPr>
              <w:pStyle w:val="Compact"/>
              <w:jc w:val="left"/>
            </w:pPr>
            <w:r>
              <w:t xml:space="preserve">18,000,000</w:t>
            </w:r>
          </w:p>
        </w:tc>
        <w:tc>
          <w:tcPr/>
          <w:p>
            <w:pPr>
              <w:pStyle w:val="Compact"/>
              <w:jc w:val="left"/>
            </w:pPr>
            <w:r>
              <w:t xml:space="preserve">18,000,000</w:t>
            </w:r>
          </w:p>
        </w:tc>
      </w:tr>
      <w:tr>
        <w:tc>
          <w:tcPr/>
          <w:p>
            <w:pPr>
              <w:pStyle w:val="Compact"/>
              <w:jc w:val="left"/>
            </w:pPr>
            <w:r>
              <w:t xml:space="preserve">04</w:t>
            </w:r>
          </w:p>
        </w:tc>
        <w:tc>
          <w:tcPr/>
          <w:p>
            <w:pPr>
              <w:pStyle w:val="Compact"/>
              <w:jc w:val="left"/>
            </w:pPr>
            <w:r>
              <w:t xml:space="preserve">Professor's peer review and editorial oversight of the company's white paper on sustainable manufacturing processes. Includes two rounds of revision feedback and final approval sign-off for publication in an international engineering journal.</w:t>
            </w:r>
          </w:p>
        </w:tc>
        <w:tc>
          <w:tcPr/>
          <w:p>
            <w:pPr>
              <w:pStyle w:val="Compact"/>
              <w:jc w:val="left"/>
            </w:pPr>
            <w:r>
              <w:t xml:space="preserve">12 Jun 2025</w:t>
            </w:r>
          </w:p>
        </w:tc>
        <w:tc>
          <w:tcPr/>
          <w:p>
            <w:pPr>
              <w:pStyle w:val="Compact"/>
              <w:jc w:val="left"/>
            </w:pPr>
            <w:r>
              <w:t xml:space="preserve">1 document</w:t>
            </w:r>
          </w:p>
        </w:tc>
        <w:tc>
          <w:tcPr/>
          <w:p>
            <w:pPr>
              <w:pStyle w:val="Compact"/>
              <w:jc w:val="left"/>
            </w:pPr>
            <w:r>
              <w:t xml:space="preserve">12,000,000</w:t>
            </w:r>
          </w:p>
        </w:tc>
        <w:tc>
          <w:tcPr/>
          <w:p>
            <w:pPr>
              <w:pStyle w:val="Compact"/>
              <w:jc w:val="left"/>
            </w:pPr>
            <w:r>
              <w:t xml:space="preserve">12,000,000</w:t>
            </w:r>
          </w:p>
        </w:tc>
      </w:tr>
      <w:tr>
        <w:tc>
          <w:tcPr/>
          <w:p>
            <w:pPr>
              <w:pStyle w:val="Compact"/>
              <w:jc w:val="left"/>
            </w:pPr>
            <w:r>
              <w:t xml:space="preserve">05</w:t>
            </w:r>
          </w:p>
        </w:tc>
        <w:tc>
          <w:tcPr/>
          <w:p>
            <w:pPr>
              <w:pStyle w:val="Compact"/>
              <w:jc w:val="left"/>
            </w:pPr>
            <w:r>
              <w:t xml:space="preserve">Travel and accommodation expenses incurred by the Professor during on-site engagements in Indonesia Jakarta. Includes intercity transport, hotel accommodation (2 nights at 4-star hotel), and local transportation as per company travel policy.</w:t>
            </w:r>
          </w:p>
        </w:tc>
        <w:tc>
          <w:tcPr/>
          <w:p>
            <w:pPr>
              <w:pStyle w:val="Compact"/>
              <w:jc w:val="left"/>
            </w:pPr>
            <w:r>
              <w:t xml:space="preserve">02-12 Jun 2025</w:t>
            </w:r>
          </w:p>
        </w:tc>
        <w:tc>
          <w:tcPr/>
          <w:p>
            <w:pPr>
              <w:pStyle w:val="Compact"/>
              <w:jc w:val="left"/>
            </w:pPr>
            <w:r>
              <w:t xml:space="preserve">10 days</w:t>
            </w:r>
          </w:p>
        </w:tc>
        <w:tc>
          <w:tcPr/>
          <w:p>
            <w:pPr>
              <w:pStyle w:val="Compact"/>
              <w:jc w:val="left"/>
            </w:pPr>
            <w:r>
              <w:t xml:space="preserve">1,500,000</w:t>
            </w:r>
          </w:p>
        </w:tc>
        <w:tc>
          <w:tcPr/>
          <w:p>
            <w:pPr>
              <w:pStyle w:val="Compact"/>
              <w:jc w:val="left"/>
            </w:pPr>
            <w:r>
              <w:t xml:space="preserve">15,000,000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100,000,000</w:t>
            </w:r>
          </w:p>
        </w:tc>
      </w:tr>
      <w:tr>
        <w:tc>
          <w:tcPr/>
          <w:p>
            <w:pPr>
              <w:pStyle w:val="Compact"/>
              <w:jc w:val="left"/>
            </w:pPr>
            <w:r>
              <w:t xml:space="preserve">PPN (VAT) 11%</w:t>
            </w:r>
          </w:p>
        </w:tc>
        <w:tc>
          <w:tcPr/>
          <w:p>
            <w:pPr>
              <w:pStyle w:val="Compact"/>
              <w:jc w:val="left"/>
            </w:pPr>
            <w:r>
              <w:t xml:space="preserve">11,000,000</w:t>
            </w:r>
          </w:p>
        </w:tc>
      </w:tr>
      <w:tr>
        <w:tc>
          <w:tcPr/>
          <w:p>
            <w:pPr>
              <w:pStyle w:val="Compact"/>
              <w:jc w:val="left"/>
            </w:pPr>
            <w:r>
              <w:t xml:space="preserve">Withholding Tax (PPh 23) 2%</w:t>
            </w:r>
          </w:p>
        </w:tc>
        <w:tc>
          <w:tcPr/>
          <w:p>
            <w:pPr>
              <w:pStyle w:val="Compact"/>
              <w:jc w:val="left"/>
            </w:pPr>
            <w:r>
              <w:t xml:space="preserve">(2,000,000)</w:t>
            </w:r>
          </w:p>
        </w:tc>
      </w:tr>
      <w:tr>
        <w:tc>
          <w:tcPr/>
          <w:p>
            <w:pPr>
              <w:pStyle w:val="Compact"/>
              <w:jc w:val="left"/>
            </w:pPr>
            <w:r>
              <w:t xml:space="preserve">Grand Total (IDR)</w:t>
            </w:r>
          </w:p>
        </w:tc>
        <w:tc>
          <w:tcPr/>
          <w:p>
            <w:pPr>
              <w:pStyle w:val="Compact"/>
              <w:jc w:val="left"/>
            </w:pPr>
            <w:r>
              <w:t xml:space="preserve">109,000,000</w:t>
            </w:r>
          </w:p>
        </w:tc>
      </w:tr>
    </w:tbl>
    <w:bookmarkStart w:id="22" w:name="notes-terms-of-this-invoice"/>
    <w:p>
      <w:pPr>
        <w:pStyle w:val="Heading3"/>
      </w:pPr>
      <w:r>
        <w:t xml:space="preserve">Notes &amp; Terms of This Invoice</w:t>
      </w:r>
    </w:p>
    <w:p>
      <w:pPr>
        <w:numPr>
          <w:ilvl w:val="0"/>
          <w:numId w:val="1001"/>
        </w:numPr>
        <w:pStyle w:val="Compact"/>
      </w:pPr>
      <w:r>
        <w:t xml:space="preserve">This Invoice is issued by Professor Dr. Ir. Hendra Wijaya, M.Sc. in his capacity as an independent academic consultant engaged by PT Nusantara Teknologi Maju for specialized research and educational services delivered in Indonesia Jakarta.</w:t>
      </w:r>
    </w:p>
    <w:p>
      <w:pPr>
        <w:numPr>
          <w:ilvl w:val="0"/>
          <w:numId w:val="1001"/>
        </w:numPr>
        <w:pStyle w:val="Compact"/>
      </w:pPr>
      <w:r>
        <w:t xml:space="preserve">All services described in this Invoice were performed in accordance with the Master Service Agreement (MSA) dated 1 January 2025, Reference No. MSA-NTM-UI-2025-001, executed between the Professor and the client entity.</w:t>
      </w:r>
    </w:p>
    <w:p>
      <w:pPr>
        <w:numPr>
          <w:ilvl w:val="0"/>
          <w:numId w:val="1001"/>
        </w:numPr>
        <w:pStyle w:val="Compact"/>
      </w:pPr>
      <w:r>
        <w:t xml:space="preserve">The PPN (Pajak Pertambahan Nilai) of 11% is applied in compliance with Indonesian tax regulations as governed by the Directorate General of Taxes (Ditjen Pajak), Ministry of Finance of the Republic of Indonesia.</w:t>
      </w:r>
    </w:p>
    <w:p>
      <w:pPr>
        <w:numPr>
          <w:ilvl w:val="0"/>
          <w:numId w:val="1001"/>
        </w:numPr>
        <w:pStyle w:val="Compact"/>
      </w:pPr>
      <w:r>
        <w:t xml:space="preserve">The PPh 23 withholding tax of 2% has been deducted at source in accordance with Article 23 of the Indonesian Income Tax Law (UU PPh). The client is responsible for remitting this amount to the relevant tax authority in Indonesia Jakarta.</w:t>
      </w:r>
    </w:p>
    <w:p>
      <w:pPr>
        <w:numPr>
          <w:ilvl w:val="0"/>
          <w:numId w:val="1001"/>
        </w:numPr>
        <w:pStyle w:val="Compact"/>
      </w:pPr>
      <w:r>
        <w:t xml:space="preserve">Payment is due within 15 (fifteen) calendar days from the issue date of this Invoice. Late payments shall incur a penalty of 1.5% per month on the outstanding balance.</w:t>
      </w:r>
    </w:p>
    <w:p>
      <w:pPr>
        <w:numPr>
          <w:ilvl w:val="0"/>
          <w:numId w:val="1001"/>
        </w:numPr>
        <w:pStyle w:val="Compact"/>
      </w:pPr>
      <w:r>
        <w:t xml:space="preserve">All intellectual property rights associated with the research outputs, reports, and lecture materials delivered under this Invoice remain the property of the Professor unless otherwise stipulated in the MSA.</w:t>
      </w:r>
    </w:p>
    <w:p>
      <w:pPr>
        <w:numPr>
          <w:ilvl w:val="0"/>
          <w:numId w:val="1001"/>
        </w:numPr>
        <w:pStyle w:val="Compact"/>
      </w:pPr>
      <w:r>
        <w:t xml:space="preserve">This Invoice is valid for 90 days from the issue date. After this period, the client must request a re-issued Invoice from the Professor's office at Universitas Indonesia Jakarta.</w:t>
      </w:r>
    </w:p>
    <w:bookmarkEnd w:id="22"/>
    <w:bookmarkStart w:id="23" w:name="payment-details"/>
    <w:p>
      <w:pPr>
        <w:pStyle w:val="Heading4"/>
      </w:pPr>
      <w:r>
        <w:t xml:space="preserve">Payment Details</w:t>
      </w:r>
    </w:p>
    <w:p>
      <w:pPr>
        <w:pStyle w:val="FirstParagraph"/>
      </w:pPr>
      <w:r>
        <w:rPr>
          <w:bCs/>
          <w:b/>
        </w:rPr>
        <w:t xml:space="preserve">Bank:</w:t>
      </w:r>
      <w:r>
        <w:t xml:space="preserve"> </w:t>
      </w:r>
      <w:r>
        <w:t xml:space="preserve">Bank Central Asia (BCA)</w:t>
      </w:r>
    </w:p>
    <w:p>
      <w:pPr>
        <w:pStyle w:val="BodyText"/>
      </w:pPr>
      <w:r>
        <w:rPr>
          <w:bCs/>
          <w:b/>
        </w:rPr>
        <w:t xml:space="preserve">Account Name:</w:t>
      </w:r>
      <w:r>
        <w:t xml:space="preserve"> </w:t>
      </w:r>
      <w:r>
        <w:t xml:space="preserve">Prof. Dr. Ir. Hendra Wijaya</w:t>
      </w:r>
    </w:p>
    <w:p>
      <w:pPr>
        <w:pStyle w:val="BodyText"/>
      </w:pPr>
      <w:r>
        <w:rPr>
          <w:bCs/>
          <w:b/>
        </w:rPr>
        <w:t xml:space="preserve">Account No.:</w:t>
      </w:r>
      <w:r>
        <w:t xml:space="preserve"> </w:t>
      </w:r>
      <w:r>
        <w:t xml:space="preserve">5123-4567-8901</w:t>
      </w:r>
    </w:p>
    <w:p>
      <w:pPr>
        <w:pStyle w:val="BodyText"/>
      </w:pPr>
      <w:r>
        <w:rPr>
          <w:bCs/>
          <w:b/>
        </w:rPr>
        <w:t xml:space="preserve">Branch:</w:t>
      </w:r>
      <w:r>
        <w:t xml:space="preserve"> </w:t>
      </w:r>
      <w:r>
        <w:t xml:space="preserve">Jakarta Pusat, Indonesia Jakarta</w:t>
      </w:r>
    </w:p>
    <w:p>
      <w:pPr>
        <w:pStyle w:val="BodyText"/>
      </w:pPr>
      <w:r>
        <w:rPr>
          <w:bCs/>
          <w:b/>
        </w:rPr>
        <w:t xml:space="preserve">SWIFT Code:</w:t>
      </w:r>
      <w:r>
        <w:t xml:space="preserve"> </w:t>
      </w:r>
      <w:r>
        <w:t xml:space="preserve">CBAQIDJA</w:t>
      </w:r>
    </w:p>
    <w:p>
      <w:pPr>
        <w:pStyle w:val="BodyText"/>
      </w:pPr>
      <w:r>
        <w:rPr>
          <w:bCs/>
          <w:b/>
        </w:rPr>
        <w:t xml:space="preserve">Payment Method:</w:t>
      </w:r>
      <w:r>
        <w:t xml:space="preserve"> </w:t>
      </w:r>
      <w:r>
        <w:t xml:space="preserve">Bank Transfer (Transfer Bank)</w:t>
      </w:r>
    </w:p>
    <w:bookmarkEnd w:id="23"/>
    <w:bookmarkStart w:id="24" w:name="authorized-signatory"/>
    <w:p>
      <w:pPr>
        <w:pStyle w:val="Heading4"/>
      </w:pPr>
      <w:r>
        <w:t xml:space="preserve">Authorized Signatory</w:t>
      </w:r>
    </w:p>
    <w:p>
      <w:pPr>
        <w:pStyle w:val="FirstParagraph"/>
      </w:pPr>
      <w:r>
        <w:t xml:space="preserve">_______________________________</w:t>
      </w:r>
    </w:p>
    <w:p>
      <w:pPr>
        <w:pStyle w:val="BodyText"/>
      </w:pPr>
      <w:r>
        <w:rPr>
          <w:bCs/>
          <w:b/>
        </w:rPr>
        <w:t xml:space="preserve">Professor Dr. Ir. Hendra Wijaya, M.Sc.</w:t>
      </w:r>
    </w:p>
    <w:p>
      <w:pPr>
        <w:pStyle w:val="BodyText"/>
      </w:pPr>
      <w:r>
        <w:t xml:space="preserve">Senior Academic Consultant</w:t>
      </w:r>
    </w:p>
    <w:p>
      <w:pPr>
        <w:pStyle w:val="BodyText"/>
      </w:pPr>
      <w:r>
        <w:t xml:space="preserve">Universitas Indonesia Jakarta</w:t>
      </w:r>
    </w:p>
    <w:p>
      <w:pPr>
        <w:pStyle w:val="BodyText"/>
      </w:pPr>
      <w:r>
        <w:t xml:space="preserve">Date: 15 June 2025</w:t>
      </w:r>
    </w:p>
    <w:bookmarkEnd w:id="24"/>
    <w:p>
      <w:pPr>
        <w:pStyle w:val="BodyText"/>
      </w:pPr>
      <w:r>
        <w:t xml:space="preserve">This Invoice was generated and issued in Indonesia Jakarta, Republic of Indonesia. All transactions are subject to the laws of the Republic of Indonesia. For disputes arising from this Invoice, the competent court shall be the District Court of Central Jakarta (Pengadilan Negeri Jakarta Pusat).</w:t>
      </w:r>
    </w:p>
    <w:p>
      <w:pPr>
        <w:pStyle w:val="BodyText"/>
      </w:pPr>
      <w:r>
        <w:t xml:space="preserve">© 2025 Professor Dr. Ir. Hendra Wijaya, M.Sc. — Academic Consulting Services, Indonesia Jakarta. All rights reserved.</w:t>
      </w:r>
    </w:p>
    <w:p>
      <w:pPr>
        <w:pStyle w:val="BodyText"/>
      </w:pPr>
      <w:r>
        <w:t xml:space="preserve">Document ID: INV-JKT-2025-0047 | Generated: 15/06/2025 09:32 WIB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Professor Academic Services - Indonesia Jakarta</dc:title>
  <dc:creator/>
  <dc:language>en</dc:language>
  <cp:keywords/>
  <dcterms:created xsi:type="dcterms:W3CDTF">2026-10-10T04:33:48Z</dcterms:created>
  <dcterms:modified xsi:type="dcterms:W3CDTF">2026-10-10T04:33:48Z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