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Tehran,</w:t>
      </w:r>
      <w:r>
        <w:t xml:space="preserve"> </w:t>
      </w:r>
      <w:r>
        <w:t xml:space="preserve">Iran</w:t>
      </w:r>
    </w:p>
    <w:bookmarkStart w:id="20" w:name="invoice"/>
    <w:p>
      <w:pPr>
        <w:pStyle w:val="Heading1"/>
      </w:pPr>
      <w:r>
        <w:t xml:space="preserve">INVOICE</w:t>
      </w:r>
    </w:p>
    <w:p>
      <w:pPr>
        <w:pStyle w:val="FirstParagraph"/>
      </w:pPr>
      <w:r>
        <w:t xml:space="preserve">Academic &amp; Professional Services Invoice — Tehran, Iran</w:t>
      </w:r>
    </w:p>
    <w:p>
      <w:pPr>
        <w:pStyle w:val="BodyText"/>
      </w:pPr>
      <w:r>
        <w:t xml:space="preserve">Official Invoice Document</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INV-THR-2025-04782</w:t>
      </w:r>
    </w:p>
    <w:p>
      <w:pPr>
        <w:pStyle w:val="BodyText"/>
      </w:pPr>
      <w:r>
        <w:rPr>
          <w:bCs/>
          <w:b/>
        </w:rPr>
        <w:t xml:space="preserve">Issue Date:</w:t>
      </w:r>
      <w:r>
        <w:t xml:space="preserve"> </w:t>
      </w:r>
      <w:r>
        <w:t xml:space="preserve">15 Farvardin 1404 (March 5, 2025)</w:t>
      </w:r>
    </w:p>
    <w:p>
      <w:pPr>
        <w:pStyle w:val="BodyText"/>
      </w:pPr>
      <w:r>
        <w:rPr>
          <w:bCs/>
          <w:b/>
        </w:rPr>
        <w:t xml:space="preserve">Due Date:</w:t>
      </w:r>
      <w:r>
        <w:t xml:space="preserve"> </w:t>
      </w:r>
      <w:r>
        <w:t xml:space="preserve">30 Farvardin 1404 (March 20, 2025)</w:t>
      </w:r>
    </w:p>
    <w:p>
      <w:pPr>
        <w:pStyle w:val="BodyText"/>
      </w:pPr>
      <w:r>
        <w:rPr>
          <w:bCs/>
          <w:b/>
        </w:rPr>
        <w:t xml:space="preserve">Currency:</w:t>
      </w:r>
      <w:r>
        <w:t xml:space="preserve"> </w:t>
      </w:r>
      <w:r>
        <w:t xml:space="preserve">Iranian Rial (IRR) / USD</w:t>
      </w:r>
    </w:p>
    <w:p>
      <w:pPr>
        <w:pStyle w:val="BodyText"/>
      </w:pPr>
      <w:r>
        <w:rPr>
          <w:bCs/>
          <w:b/>
        </w:rPr>
        <w:t xml:space="preserve">Payment Method:</w:t>
      </w:r>
      <w:r>
        <w:t xml:space="preserve"> </w:t>
      </w:r>
      <w:r>
        <w:t xml:space="preserve">Bank Transfer (Shetab Network)</w:t>
      </w:r>
    </w:p>
    <w:bookmarkEnd w:id="21"/>
    <w:bookmarkStart w:id="22" w:name="issued-by-professor"/>
    <w:p>
      <w:pPr>
        <w:pStyle w:val="Heading3"/>
      </w:pPr>
      <w:r>
        <w:t xml:space="preserve">Issued By (Professor)</w:t>
      </w:r>
    </w:p>
    <w:p>
      <w:pPr>
        <w:pStyle w:val="FirstParagraph"/>
      </w:pPr>
      <w:r>
        <w:rPr>
          <w:bCs/>
          <w:b/>
        </w:rPr>
        <w:t xml:space="preserve">Professor</w:t>
      </w:r>
      <w:r>
        <w:t xml:space="preserve"> </w:t>
      </w:r>
      <w:r>
        <w:t xml:space="preserve">Dr. Amir Hossein Karimi</w:t>
      </w:r>
    </w:p>
    <w:p>
      <w:pPr>
        <w:pStyle w:val="BodyText"/>
      </w:pPr>
      <w:r>
        <w:t xml:space="preserve">Department of Computer Engineering</w:t>
      </w:r>
    </w:p>
    <w:p>
      <w:pPr>
        <w:pStyle w:val="BodyText"/>
      </w:pPr>
      <w:r>
        <w:t xml:space="preserve">University of Tehran, Tehran, Iran</w:t>
      </w:r>
    </w:p>
    <w:p>
      <w:pPr>
        <w:pStyle w:val="BodyText"/>
      </w:pPr>
      <w:r>
        <w:t xml:space="preserve">Address: Enghelab St., Tehran, Iran</w:t>
      </w:r>
    </w:p>
    <w:p>
      <w:pPr>
        <w:pStyle w:val="BodyText"/>
      </w:pPr>
      <w:r>
        <w:t xml:space="preserve">Email: a.karimi@ut.ac.ir</w:t>
      </w:r>
    </w:p>
    <w:p>
      <w:pPr>
        <w:pStyle w:val="BodyText"/>
      </w:pPr>
      <w:r>
        <w:t xml:space="preserve">Phone: +98-21-8900-XXXX</w:t>
      </w:r>
    </w:p>
    <w:p>
      <w:pPr>
        <w:pStyle w:val="BodyText"/>
      </w:pPr>
      <w:r>
        <w:t xml:space="preserve">National ID: 001-XXXXXXX</w:t>
      </w:r>
    </w:p>
    <w:bookmarkEnd w:id="22"/>
    <w:bookmarkStart w:id="23" w:name="billed-to"/>
    <w:p>
      <w:pPr>
        <w:pStyle w:val="Heading3"/>
      </w:pPr>
      <w:r>
        <w:t xml:space="preserve">Billed To</w:t>
      </w:r>
    </w:p>
    <w:p>
      <w:pPr>
        <w:pStyle w:val="FirstParagraph"/>
      </w:pPr>
      <w:r>
        <w:rPr>
          <w:bCs/>
          <w:b/>
        </w:rPr>
        <w:t xml:space="preserve">Client:</w:t>
      </w:r>
      <w:r>
        <w:t xml:space="preserve"> </w:t>
      </w:r>
      <w:r>
        <w:t xml:space="preserve">Pishro Technology Solutions Co.</w:t>
      </w:r>
    </w:p>
    <w:p>
      <w:pPr>
        <w:pStyle w:val="BodyText"/>
      </w:pPr>
      <w:r>
        <w:t xml:space="preserve">Attn: Mr. Reza Mohammadi, CEO</w:t>
      </w:r>
    </w:p>
    <w:p>
      <w:pPr>
        <w:pStyle w:val="BodyText"/>
      </w:pPr>
      <w:r>
        <w:t xml:space="preserve">Address: Valiasr St., Tehran, Iran</w:t>
      </w:r>
    </w:p>
    <w:p>
      <w:pPr>
        <w:pStyle w:val="BodyText"/>
      </w:pPr>
      <w:r>
        <w:t xml:space="preserve">Commercial Registration: 10245789</w:t>
      </w:r>
    </w:p>
    <w:p>
      <w:pPr>
        <w:pStyle w:val="BodyText"/>
      </w:pPr>
      <w:r>
        <w:t xml:space="preserve">Tax Code: 0045678912</w:t>
      </w:r>
    </w:p>
    <w:p>
      <w:pPr>
        <w:pStyle w:val="BodyText"/>
      </w:pPr>
      <w:r>
        <w:t xml:space="preserve">Phone: +98-21-2200-XXXX</w:t>
      </w:r>
    </w:p>
    <w:bookmarkEnd w:id="23"/>
    <w:bookmarkStart w:id="25" w:name="X6ab6b2858891330edf2a71cbc46da11649208aa"/>
    <w:p>
      <w:pPr>
        <w:pStyle w:val="Heading2"/>
      </w:pPr>
      <w:r>
        <w:t xml:space="preserve">Description of Professor Services Rendered</w:t>
      </w:r>
    </w:p>
    <w:p>
      <w:pPr>
        <w:pStyle w:val="FirstParagraph"/>
      </w:pPr>
      <w:r>
        <w:t xml:space="preserve">This Invoice documents the professional academic and consulting services provided by the undersigned Professor to the above-named client during the billing period. All services were conducted in accordance with the academic and professional standards established in Tehran, Iran, and comply with the regulations of the Iranian Ministry of Science, Research, and Technology.</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(IRR)</w:t>
            </w:r>
          </w:p>
        </w:tc>
        <w:tc>
          <w:tcPr/>
          <w:p>
            <w:pPr>
              <w:pStyle w:val="Compact"/>
              <w:jc w:val="left"/>
            </w:pPr>
            <w:r>
              <w:t xml:space="preserve">Amount (IRR)</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Advanced Machine Learning Lecture Series (12 sessions) delivered at Pishro Technology Training Center, Tehran, Iran</w:t>
            </w:r>
          </w:p>
        </w:tc>
        <w:tc>
          <w:tcPr/>
          <w:p>
            <w:pPr>
              <w:pStyle w:val="Compact"/>
              <w:jc w:val="left"/>
            </w:pPr>
            <w:r>
              <w:t xml:space="preserve">01–12 Farvardin 1404</w:t>
            </w:r>
          </w:p>
        </w:tc>
        <w:tc>
          <w:tcPr/>
          <w:p>
            <w:pPr>
              <w:pStyle w:val="Compact"/>
              <w:jc w:val="left"/>
            </w:pPr>
            <w:r>
              <w:t xml:space="preserve">48</w:t>
            </w:r>
          </w:p>
        </w:tc>
        <w:tc>
          <w:tcPr/>
          <w:p>
            <w:pPr>
              <w:pStyle w:val="Compact"/>
              <w:jc w:val="left"/>
            </w:pPr>
            <w:r>
              <w:t xml:space="preserve">2,500,000</w:t>
            </w:r>
          </w:p>
        </w:tc>
        <w:tc>
          <w:tcPr/>
          <w:p>
            <w:pPr>
              <w:pStyle w:val="Compact"/>
              <w:jc w:val="left"/>
            </w:pPr>
            <w:r>
              <w:t xml:space="preserve">120,000,000</w:t>
            </w:r>
          </w:p>
        </w:tc>
        <w:tc>
          <w:tcPr/>
          <w:p>
            <w:pPr>
              <w:pStyle w:val="Compact"/>
              <w:jc w:val="left"/>
            </w:pPr>
            <w:r>
              <w:t xml:space="preserve">$2,880.00</w:t>
            </w:r>
          </w:p>
        </w:tc>
      </w:tr>
      <w:tr>
        <w:tc>
          <w:tcPr/>
          <w:p>
            <w:pPr>
              <w:pStyle w:val="Compact"/>
              <w:jc w:val="left"/>
            </w:pPr>
            <w:r>
              <w:t xml:space="preserve">2</w:t>
            </w:r>
          </w:p>
        </w:tc>
        <w:tc>
          <w:tcPr/>
          <w:p>
            <w:pPr>
              <w:pStyle w:val="Compact"/>
              <w:jc w:val="left"/>
            </w:pPr>
            <w:r>
              <w:t xml:space="preserve">Research Supervision &amp; Thesis Guidance for 4 PhD Candidates (monthly retainer)</w:t>
            </w:r>
          </w:p>
        </w:tc>
        <w:tc>
          <w:tcPr/>
          <w:p>
            <w:pPr>
              <w:pStyle w:val="Compact"/>
              <w:jc w:val="left"/>
            </w:pPr>
            <w:r>
              <w:t xml:space="preserve">Farvardin 1404</w:t>
            </w:r>
          </w:p>
        </w:tc>
        <w:tc>
          <w:tcPr/>
          <w:p>
            <w:pPr>
              <w:pStyle w:val="Compact"/>
              <w:jc w:val="left"/>
            </w:pPr>
            <w:r>
              <w:t xml:space="preserve">30</w:t>
            </w:r>
          </w:p>
        </w:tc>
        <w:tc>
          <w:tcPr/>
          <w:p>
            <w:pPr>
              <w:pStyle w:val="Compact"/>
              <w:jc w:val="left"/>
            </w:pPr>
            <w:r>
              <w:t xml:space="preserve">3,200,000</w:t>
            </w:r>
          </w:p>
        </w:tc>
        <w:tc>
          <w:tcPr/>
          <w:p>
            <w:pPr>
              <w:pStyle w:val="Compact"/>
              <w:jc w:val="left"/>
            </w:pPr>
            <w:r>
              <w:t xml:space="preserve">96,000,000</w:t>
            </w:r>
          </w:p>
        </w:tc>
        <w:tc>
          <w:tcPr/>
          <w:p>
            <w:pPr>
              <w:pStyle w:val="Compact"/>
              <w:jc w:val="left"/>
            </w:pPr>
            <w:r>
              <w:t xml:space="preserve">$2,304.00</w:t>
            </w:r>
          </w:p>
        </w:tc>
      </w:tr>
      <w:tr>
        <w:tc>
          <w:tcPr/>
          <w:p>
            <w:pPr>
              <w:pStyle w:val="Compact"/>
              <w:jc w:val="left"/>
            </w:pPr>
            <w:r>
              <w:t xml:space="preserve">3</w:t>
            </w:r>
          </w:p>
        </w:tc>
        <w:tc>
          <w:tcPr/>
          <w:p>
            <w:pPr>
              <w:pStyle w:val="Compact"/>
              <w:jc w:val="left"/>
            </w:pPr>
            <w:r>
              <w:t xml:space="preserve">Technical Consulting on Neural Network Architecture for Industrial Automation Project</w:t>
            </w:r>
          </w:p>
        </w:tc>
        <w:tc>
          <w:tcPr/>
          <w:p>
            <w:pPr>
              <w:pStyle w:val="Compact"/>
              <w:jc w:val="left"/>
            </w:pPr>
            <w:r>
              <w:t xml:space="preserve">05–08 Farvardin 1404</w:t>
            </w:r>
          </w:p>
        </w:tc>
        <w:tc>
          <w:tcPr/>
          <w:p>
            <w:pPr>
              <w:pStyle w:val="Compact"/>
              <w:jc w:val="left"/>
            </w:pPr>
            <w:r>
              <w:t xml:space="preserve">16</w:t>
            </w:r>
          </w:p>
        </w:tc>
        <w:tc>
          <w:tcPr/>
          <w:p>
            <w:pPr>
              <w:pStyle w:val="Compact"/>
              <w:jc w:val="left"/>
            </w:pPr>
            <w:r>
              <w:t xml:space="preserve">4,000,000</w:t>
            </w:r>
          </w:p>
        </w:tc>
        <w:tc>
          <w:tcPr/>
          <w:p>
            <w:pPr>
              <w:pStyle w:val="Compact"/>
              <w:jc w:val="left"/>
            </w:pPr>
            <w:r>
              <w:t xml:space="preserve">64,000,000</w:t>
            </w:r>
          </w:p>
        </w:tc>
        <w:tc>
          <w:tcPr/>
          <w:p>
            <w:pPr>
              <w:pStyle w:val="Compact"/>
              <w:jc w:val="left"/>
            </w:pPr>
            <w:r>
              <w:t xml:space="preserve">$1,536.00</w:t>
            </w:r>
          </w:p>
        </w:tc>
      </w:tr>
      <w:tr>
        <w:tc>
          <w:tcPr/>
          <w:p>
            <w:pPr>
              <w:pStyle w:val="Compact"/>
              <w:jc w:val="left"/>
            </w:pPr>
            <w:r>
              <w:t xml:space="preserve">4</w:t>
            </w:r>
          </w:p>
        </w:tc>
        <w:tc>
          <w:tcPr/>
          <w:p>
            <w:pPr>
              <w:pStyle w:val="Compact"/>
              <w:jc w:val="left"/>
            </w:pPr>
            <w:r>
              <w:t xml:space="preserve">Peer Review &amp; Evaluation of 6 Research Papers submitted to the company's R&amp;D Division</w:t>
            </w:r>
          </w:p>
        </w:tc>
        <w:tc>
          <w:tcPr/>
          <w:p>
            <w:pPr>
              <w:pStyle w:val="Compact"/>
              <w:jc w:val="left"/>
            </w:pPr>
            <w:r>
              <w:t xml:space="preserve">10–14 Farvardin 1404</w:t>
            </w:r>
          </w:p>
        </w:tc>
        <w:tc>
          <w:tcPr/>
          <w:p>
            <w:pPr>
              <w:pStyle w:val="Compact"/>
              <w:jc w:val="left"/>
            </w:pPr>
            <w:r>
              <w:t xml:space="preserve">12</w:t>
            </w:r>
          </w:p>
        </w:tc>
        <w:tc>
          <w:tcPr/>
          <w:p>
            <w:pPr>
              <w:pStyle w:val="Compact"/>
              <w:jc w:val="left"/>
            </w:pPr>
            <w:r>
              <w:t xml:space="preserve">2,800,000</w:t>
            </w:r>
          </w:p>
        </w:tc>
        <w:tc>
          <w:tcPr/>
          <w:p>
            <w:pPr>
              <w:pStyle w:val="Compact"/>
              <w:jc w:val="left"/>
            </w:pPr>
            <w:r>
              <w:t xml:space="preserve">33,600,000</w:t>
            </w:r>
          </w:p>
        </w:tc>
        <w:tc>
          <w:tcPr/>
          <w:p>
            <w:pPr>
              <w:pStyle w:val="Compact"/>
              <w:jc w:val="left"/>
            </w:pPr>
            <w:r>
              <w:t xml:space="preserve">$806.40</w:t>
            </w:r>
          </w:p>
        </w:tc>
      </w:tr>
      <w:tr>
        <w:tc>
          <w:tcPr/>
          <w:p>
            <w:pPr>
              <w:pStyle w:val="Compact"/>
              <w:jc w:val="left"/>
            </w:pPr>
            <w:r>
              <w:t xml:space="preserve">5</w:t>
            </w:r>
          </w:p>
        </w:tc>
        <w:tc>
          <w:tcPr/>
          <w:p>
            <w:pPr>
              <w:pStyle w:val="Compact"/>
              <w:jc w:val="left"/>
            </w:pPr>
            <w:r>
              <w:t xml:space="preserve">Workshop: "Ethical AI in the Iranian Tech Industry" — Keynote Speaker, Tehran Conference Hall</w:t>
            </w:r>
          </w:p>
        </w:tc>
        <w:tc>
          <w:tcPr/>
          <w:p>
            <w:pPr>
              <w:pStyle w:val="Compact"/>
              <w:jc w:val="left"/>
            </w:pPr>
            <w:r>
              <w:t xml:space="preserve">14 Farvardin 1404</w:t>
            </w:r>
          </w:p>
        </w:tc>
        <w:tc>
          <w:tcPr/>
          <w:p>
            <w:pPr>
              <w:pStyle w:val="Compact"/>
              <w:jc w:val="left"/>
            </w:pPr>
            <w:r>
              <w:t xml:space="preserve">4</w:t>
            </w:r>
          </w:p>
        </w:tc>
        <w:tc>
          <w:tcPr/>
          <w:p>
            <w:pPr>
              <w:pStyle w:val="Compact"/>
              <w:jc w:val="left"/>
            </w:pPr>
            <w:r>
              <w:t xml:space="preserve">5,000,000</w:t>
            </w:r>
          </w:p>
        </w:tc>
        <w:tc>
          <w:tcPr/>
          <w:p>
            <w:pPr>
              <w:pStyle w:val="Compact"/>
              <w:jc w:val="left"/>
            </w:pPr>
            <w:r>
              <w:t xml:space="preserve">20,000,000</w:t>
            </w:r>
          </w:p>
        </w:tc>
        <w:tc>
          <w:tcPr/>
          <w:p>
            <w:pPr>
              <w:pStyle w:val="Compact"/>
              <w:jc w:val="left"/>
            </w:pPr>
            <w:r>
              <w:t xml:space="preserve">$480.00</w:t>
            </w:r>
          </w:p>
        </w:tc>
      </w:tr>
      <w:tr>
        <w:tc>
          <w:tcPr/>
          <w:p>
            <w:pPr>
              <w:pStyle w:val="Compact"/>
              <w:jc w:val="left"/>
            </w:pPr>
            <w:r>
              <w:t xml:space="preserve">6</w:t>
            </w:r>
          </w:p>
        </w:tc>
        <w:tc>
          <w:tcPr/>
          <w:p>
            <w:pPr>
              <w:pStyle w:val="Compact"/>
              <w:jc w:val="left"/>
            </w:pPr>
            <w:r>
              <w:t xml:space="preserve">Preparation of Customized Curriculum for Corporate AI Training Program (Tehran, Iran)</w:t>
            </w:r>
          </w:p>
        </w:tc>
        <w:tc>
          <w:tcPr/>
          <w:p>
            <w:pPr>
              <w:pStyle w:val="Compact"/>
              <w:jc w:val="left"/>
            </w:pPr>
            <w:r>
              <w:t xml:space="preserve">03–13 Farvardin 1404</w:t>
            </w:r>
          </w:p>
        </w:tc>
        <w:tc>
          <w:tcPr/>
          <w:p>
            <w:pPr>
              <w:pStyle w:val="Compact"/>
              <w:jc w:val="left"/>
            </w:pPr>
            <w:r>
              <w:t xml:space="preserve">20</w:t>
            </w:r>
          </w:p>
        </w:tc>
        <w:tc>
          <w:tcPr/>
          <w:p>
            <w:pPr>
              <w:pStyle w:val="Compact"/>
              <w:jc w:val="left"/>
            </w:pPr>
            <w:r>
              <w:t xml:space="preserve">3,500,000</w:t>
            </w:r>
          </w:p>
        </w:tc>
        <w:tc>
          <w:tcPr/>
          <w:p>
            <w:pPr>
              <w:pStyle w:val="Compact"/>
              <w:jc w:val="left"/>
            </w:pPr>
            <w:r>
              <w:t xml:space="preserve">70,000,000</w:t>
            </w:r>
          </w:p>
        </w:tc>
        <w:tc>
          <w:tcPr/>
          <w:p>
            <w:pPr>
              <w:pStyle w:val="Compact"/>
              <w:jc w:val="left"/>
            </w:pPr>
            <w:r>
              <w:t xml:space="preserve">$1,680.00</w:t>
            </w:r>
          </w:p>
        </w:tc>
      </w:tr>
    </w:tbl>
    <w:tbl>
      <w:tblPr>
        <w:tblStyle w:val="Table"/>
        <w:tblW w:type="auto" w:w="0"/>
        <w:tblLook w:firstRow="0" w:lastRow="0" w:firstColumn="0" w:lastColumn="0" w:noHBand="0" w:noVBand="0" w:val="0000"/>
      </w:tblPr>
      <w:tblGrid>
        <w:gridCol w:w="2640"/>
        <w:gridCol w:w="2640"/>
        <w:gridCol w:w="2640"/>
      </w:tblGrid>
      <w:tr>
        <w:tc>
          <w:tcPr/>
          <w:p>
            <w:pPr>
              <w:pStyle w:val="Compact"/>
              <w:jc w:val="left"/>
            </w:pPr>
            <w:r>
              <w:t xml:space="preserve">Subtotal</w:t>
            </w:r>
          </w:p>
        </w:tc>
        <w:tc>
          <w:tcPr/>
          <w:p>
            <w:pPr>
              <w:pStyle w:val="Compact"/>
              <w:jc w:val="right"/>
            </w:pPr>
            <w:r>
              <w:t xml:space="preserve">403,600,000 IRR</w:t>
            </w:r>
          </w:p>
        </w:tc>
        <w:tc>
          <w:tcPr/>
          <w:p>
            <w:pPr>
              <w:pStyle w:val="Compact"/>
              <w:jc w:val="right"/>
            </w:pPr>
            <w:r>
              <w:t xml:space="preserve">$9,686.40</w:t>
            </w:r>
          </w:p>
        </w:tc>
      </w:tr>
      <w:tr>
        <w:tc>
          <w:tcPr/>
          <w:p>
            <w:pPr>
              <w:pStyle w:val="Compact"/>
              <w:jc w:val="left"/>
            </w:pPr>
            <w:r>
              <w:t xml:space="preserve">VAT (9% — Iranian Tax Authority)</w:t>
            </w:r>
          </w:p>
        </w:tc>
        <w:tc>
          <w:tcPr/>
          <w:p>
            <w:pPr>
              <w:pStyle w:val="Compact"/>
              <w:jc w:val="right"/>
            </w:pPr>
            <w:r>
              <w:t xml:space="preserve">36,324,000 IRR</w:t>
            </w:r>
          </w:p>
        </w:tc>
        <w:tc>
          <w:tcPr/>
          <w:p>
            <w:pPr>
              <w:pStyle w:val="Compact"/>
              <w:jc w:val="right"/>
            </w:pPr>
            <w:r>
              <w:t xml:space="preserve">$871.74</w:t>
            </w:r>
          </w:p>
        </w:tc>
      </w:tr>
      <w:tr>
        <w:tc>
          <w:tcPr/>
          <w:p>
            <w:pPr>
              <w:pStyle w:val="Compact"/>
              <w:jc w:val="left"/>
            </w:pPr>
            <w:r>
              <w:t xml:space="preserve">University Administrative Fee (5%)</w:t>
            </w:r>
          </w:p>
        </w:tc>
        <w:tc>
          <w:tcPr/>
          <w:p>
            <w:pPr>
              <w:pStyle w:val="Compact"/>
              <w:jc w:val="right"/>
            </w:pPr>
            <w:r>
              <w:t xml:space="preserve">20,180,000 IRR</w:t>
            </w:r>
          </w:p>
        </w:tc>
        <w:tc>
          <w:tcPr/>
          <w:p>
            <w:pPr>
              <w:pStyle w:val="Compact"/>
              <w:jc w:val="right"/>
            </w:pPr>
            <w:r>
              <w:t xml:space="preserve">$484.32</w:t>
            </w:r>
          </w:p>
        </w:tc>
      </w:tr>
      <w:tr>
        <w:tc>
          <w:tcPr/>
          <w:p>
            <w:pPr>
              <w:pStyle w:val="Compact"/>
              <w:jc w:val="left"/>
            </w:pPr>
            <w:r>
              <w:t xml:space="preserve">GRAND TOTAL</w:t>
            </w:r>
          </w:p>
        </w:tc>
        <w:tc>
          <w:tcPr/>
          <w:p>
            <w:pPr>
              <w:pStyle w:val="Compact"/>
              <w:jc w:val="right"/>
            </w:pPr>
            <w:r>
              <w:t xml:space="preserve">460,104,000 IRR</w:t>
            </w:r>
          </w:p>
        </w:tc>
        <w:tc>
          <w:tcPr/>
          <w:p>
            <w:pPr>
              <w:pStyle w:val="Compact"/>
              <w:jc w:val="right"/>
            </w:pPr>
            <w:r>
              <w:t xml:space="preserve">$11,042.46</w:t>
            </w:r>
          </w:p>
        </w:tc>
      </w:tr>
    </w:tbl>
    <w:bookmarkStart w:id="24" w:name="invoice-notes-terms"/>
    <w:p>
      <w:pPr>
        <w:pStyle w:val="Heading3"/>
      </w:pPr>
      <w:r>
        <w:t xml:space="preserve">Invoice Notes &amp; Terms</w:t>
      </w:r>
    </w:p>
    <w:p>
      <w:pPr>
        <w:pStyle w:val="FirstParagraph"/>
      </w:pPr>
      <w:r>
        <w:rPr>
          <w:bCs/>
          <w:b/>
        </w:rPr>
        <w:t xml:space="preserve">1.</w:t>
      </w:r>
      <w:r>
        <w:t xml:space="preserve"> </w:t>
      </w:r>
      <w:r>
        <w:t xml:space="preserve">This Invoice is issued in accordance with the Iranian Commercial Code and the regulations of the Iranian National Tax Organization (Sazman-e Omour-e Maliyati). The Professor's services are subject to the academic employment contract registered with the University of Tehran, Tehran, Iran.</w:t>
      </w:r>
    </w:p>
    <w:p>
      <w:pPr>
        <w:pStyle w:val="BodyText"/>
      </w:pPr>
      <w:r>
        <w:rPr>
          <w:bCs/>
          <w:b/>
        </w:rPr>
        <w:t xml:space="preserve">2.</w:t>
      </w:r>
      <w:r>
        <w:t xml:space="preserve"> </w:t>
      </w:r>
      <w:r>
        <w:t xml:space="preserve">Payment is due within fifteen (15) calendar days from the issue date of this Invoice. Late payments shall incur a penalty of 0.5% per day as stipulated under Iranian commercial law.</w:t>
      </w:r>
    </w:p>
    <w:p>
      <w:pPr>
        <w:pStyle w:val="BodyText"/>
      </w:pPr>
      <w:r>
        <w:rPr>
          <w:bCs/>
          <w:b/>
        </w:rPr>
        <w:t xml:space="preserve">3.</w:t>
      </w:r>
      <w:r>
        <w:t xml:space="preserve"> </w:t>
      </w:r>
      <w:r>
        <w:t xml:space="preserve">The Professor reserves the right to intellectual property rights over all lecture materials, research methodologies, and proprietary frameworks developed during the engagement period in Tehran, Iran. A separate licensing agreement may be required for commercial reproduction.</w:t>
      </w:r>
    </w:p>
    <w:p>
      <w:pPr>
        <w:pStyle w:val="BodyText"/>
      </w:pPr>
      <w:r>
        <w:rPr>
          <w:bCs/>
          <w:b/>
        </w:rPr>
        <w:t xml:space="preserve">4.</w:t>
      </w:r>
      <w:r>
        <w:t xml:space="preserve"> </w:t>
      </w:r>
      <w:r>
        <w:t xml:space="preserve">This Invoice must be presented to the Iranian Tax Authority for stamping and validation. The client is responsible for obtaining the official tax stamp (Mooarrad-e Maliyati) before processing payment through the Shetab banking network.</w:t>
      </w:r>
    </w:p>
    <w:p>
      <w:pPr>
        <w:pStyle w:val="BodyText"/>
      </w:pPr>
      <w:r>
        <w:rPr>
          <w:bCs/>
          <w:b/>
        </w:rPr>
        <w:t xml:space="preserve">5.</w:t>
      </w:r>
      <w:r>
        <w:t xml:space="preserve"> </w:t>
      </w:r>
      <w:r>
        <w:t xml:space="preserve">All services described in this Invoice were performed by the Professor in his capacity as a full-time faculty member at the University of Tehran. The University's Office of Research and Technology Transfer has been notified of this external engagement in compliance with Iranian academic regulations.</w:t>
      </w:r>
    </w:p>
    <w:p>
      <w:pPr>
        <w:pStyle w:val="BodyText"/>
      </w:pPr>
      <w:r>
        <w:rPr>
          <w:bCs/>
          <w:b/>
        </w:rPr>
        <w:t xml:space="preserve">6.</w:t>
      </w:r>
      <w:r>
        <w:t xml:space="preserve"> </w:t>
      </w:r>
      <w:r>
        <w:t xml:space="preserve">In the event of any dispute regarding the services listed on this Invoice, both parties agree to resolve the matter through the Arbitration Court of Tehran, Iran, in accordance with the Iranian Civil Procedure Code.</w:t>
      </w:r>
    </w:p>
    <w:p>
      <w:pPr>
        <w:pStyle w:val="BodyText"/>
      </w:pPr>
      <w:r>
        <w:rPr>
          <w:bCs/>
          <w:b/>
        </w:rPr>
        <w:t xml:space="preserve">7.</w:t>
      </w:r>
      <w:r>
        <w:t xml:space="preserve"> </w:t>
      </w:r>
      <w:r>
        <w:t xml:space="preserve">This Invoice is valid for a period of ninety (90) days from the date of issue. After this period, a revised Invoice must be generated by the Professor's administrative office in Tehran, Iran.</w:t>
      </w:r>
    </w:p>
    <w:bookmarkEnd w:id="24"/>
    <w:p>
      <w:pPr>
        <w:pStyle w:val="BodyText"/>
      </w:pPr>
      <w:r>
        <w:rPr>
          <w:bCs/>
          <w:b/>
        </w:rPr>
        <w:t xml:space="preserve">Professor</w:t>
      </w:r>
      <w:r>
        <w:t xml:space="preserve"> </w:t>
      </w:r>
      <w:r>
        <w:t xml:space="preserve">Dr. Amir Hossein Karimi — University of Tehran, Tehran, Iran</w:t>
      </w:r>
    </w:p>
    <w:p>
      <w:pPr>
        <w:pStyle w:val="BodyText"/>
      </w:pPr>
      <w:r>
        <w:t xml:space="preserve">This Invoice was generated electronically and is valid without a physical signature per Iranian Electronic Transactions Law (2003).</w:t>
      </w:r>
    </w:p>
    <w:p>
      <w:pPr>
        <w:pStyle w:val="BodyText"/>
      </w:pPr>
      <w:r>
        <w:t xml:space="preserve">Document Reference: INV-THR-2025-04782 | Generated: 15 Farvardin 1404 / March 5, 2025 | Tehran, Iran</w:t>
      </w:r>
    </w:p>
    <w:p>
      <w:pPr>
        <w:pStyle w:val="BodyText"/>
      </w:pPr>
      <w:r>
        <w:t xml:space="preserve">© 2025 University of Tehran — Office of Research &amp; Technology Transfer. All rights reserved. This Invoice document is the property of the issuing Professor and the University of Tehran, Tehran, Iran.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Services - Tehran, Iran</dc:title>
  <dc:creator/>
  <dc:language>en</dc:language>
  <cp:keywords/>
  <dcterms:created xsi:type="dcterms:W3CDTF">2026-10-10T01:52:39Z</dcterms:created>
  <dcterms:modified xsi:type="dcterms:W3CDTF">2026-10-10T01:52:39Z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