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Consulting</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p>
      <w:pPr>
        <w:pStyle w:val="FirstParagraph"/>
      </w:pPr>
      <w:r>
        <w:t xml:space="preserve">INVOICE</w:t>
      </w:r>
    </w:p>
    <w:p>
      <w:pPr>
        <w:pStyle w:val="BodyText"/>
      </w:pPr>
      <w:r>
        <w:t xml:space="preserve">Academic &amp; Professional Consulting Services</w:t>
      </w:r>
    </w:p>
    <w:p>
      <w:pPr>
        <w:pStyle w:val="BodyText"/>
      </w:pPr>
      <w:r>
        <w:t xml:space="preserve">Tel Aviv, Israel</w:t>
      </w:r>
    </w:p>
    <w:p>
      <w:pPr>
        <w:pStyle w:val="BodyText"/>
      </w:pPr>
      <w:r>
        <w:rPr>
          <w:bCs/>
          <w:b/>
        </w:rPr>
        <w:t xml:space="preserve">Invoice Number:</w:t>
      </w:r>
      <w:r>
        <w:t xml:space="preserve"> </w:t>
      </w:r>
      <w:r>
        <w:t xml:space="preserve">TLV-2025-0487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 / ₪)</w:t>
      </w:r>
    </w:p>
    <w:bookmarkStart w:id="20" w:name="issued-by-service-provider"/>
    <w:p>
      <w:pPr>
        <w:pStyle w:val="Heading3"/>
      </w:pPr>
      <w:r>
        <w:t xml:space="preserve">Issued By (Service Provider)</w:t>
      </w:r>
    </w:p>
    <w:p>
      <w:pPr>
        <w:pStyle w:val="FirstParagraph"/>
      </w:pPr>
      <w:r>
        <w:rPr>
          <w:bCs/>
          <w:b/>
        </w:rPr>
        <w:t xml:space="preserve">Professor Daniel A. Rosenbaum, Ph.D.</w:t>
      </w:r>
    </w:p>
    <w:p>
      <w:pPr>
        <w:pStyle w:val="BodyText"/>
      </w:pPr>
      <w:r>
        <w:t xml:space="preserve">Department of Economics &amp; Public Policy</w:t>
      </w:r>
    </w:p>
    <w:p>
      <w:pPr>
        <w:pStyle w:val="BodyText"/>
      </w:pPr>
      <w:r>
        <w:t xml:space="preserve">Faculty of Social Sciences</w:t>
      </w:r>
    </w:p>
    <w:p>
      <w:pPr>
        <w:pStyle w:val="BodyText"/>
      </w:pPr>
      <w:r>
        <w:t xml:space="preserve">University of Tel Aviv</w:t>
      </w:r>
    </w:p>
    <w:p>
      <w:pPr>
        <w:pStyle w:val="BodyText"/>
      </w:pPr>
      <w:r>
        <w:t xml:space="preserve">69 Tel Aviv University Road</w:t>
      </w:r>
    </w:p>
    <w:p>
      <w:pPr>
        <w:pStyle w:val="BodyText"/>
      </w:pPr>
      <w:r>
        <w:t xml:space="preserve">Ramat Aviv, Tel Aviv 6997801</w:t>
      </w:r>
    </w:p>
    <w:p>
      <w:pPr>
        <w:pStyle w:val="BodyText"/>
      </w:pPr>
      <w:r>
        <w:t xml:space="preserve">Israel</w:t>
      </w:r>
    </w:p>
    <w:p>
      <w:pPr>
        <w:pStyle w:val="BodyText"/>
      </w:pPr>
      <w:r>
        <w:rPr>
          <w:bCs/>
          <w:b/>
        </w:rPr>
        <w:t xml:space="preserve">VAT Number:</w:t>
      </w:r>
      <w:r>
        <w:t xml:space="preserve"> </w:t>
      </w:r>
      <w:r>
        <w:t xml:space="preserve">51-234-567-8</w:t>
      </w:r>
    </w:p>
    <w:p>
      <w:pPr>
        <w:pStyle w:val="BodyText"/>
      </w:pPr>
      <w:r>
        <w:rPr>
          <w:bCs/>
          <w:b/>
        </w:rPr>
        <w:t xml:space="preserve">Phone:</w:t>
      </w:r>
      <w:r>
        <w:t xml:space="preserve"> </w:t>
      </w:r>
      <w:r>
        <w:t xml:space="preserve">+972-3-640-9000</w:t>
      </w:r>
    </w:p>
    <w:p>
      <w:pPr>
        <w:pStyle w:val="BodyText"/>
      </w:pPr>
      <w:r>
        <w:rPr>
          <w:bCs/>
          <w:b/>
        </w:rPr>
        <w:t xml:space="preserve">Email:</w:t>
      </w:r>
      <w:r>
        <w:t xml:space="preserve"> </w:t>
      </w:r>
      <w:r>
        <w:t xml:space="preserve">d.rosenbaum@tau.ac.il</w:t>
      </w:r>
    </w:p>
    <w:bookmarkEnd w:id="20"/>
    <w:bookmarkStart w:id="21" w:name="issued-to-client"/>
    <w:p>
      <w:pPr>
        <w:pStyle w:val="Heading3"/>
      </w:pPr>
      <w:r>
        <w:t xml:space="preserve">Issued To (Client)</w:t>
      </w:r>
    </w:p>
    <w:p>
      <w:pPr>
        <w:pStyle w:val="FirstParagraph"/>
      </w:pPr>
      <w:r>
        <w:rPr>
          <w:bCs/>
          <w:b/>
        </w:rPr>
        <w:t xml:space="preserve">MedTech Innovations Ltd.</w:t>
      </w:r>
    </w:p>
    <w:p>
      <w:pPr>
        <w:pStyle w:val="BodyText"/>
      </w:pPr>
      <w:r>
        <w:t xml:space="preserve">Attn: Dr. Sarah Levi, Chief Strategy Officer</w:t>
      </w:r>
    </w:p>
    <w:p>
      <w:pPr>
        <w:pStyle w:val="BodyText"/>
      </w:pPr>
      <w:r>
        <w:t xml:space="preserve">12 HaYarkon Street, Floor 8</w:t>
      </w:r>
    </w:p>
    <w:p>
      <w:pPr>
        <w:pStyle w:val="BodyText"/>
      </w:pPr>
      <w:r>
        <w:t xml:space="preserve">Bloch Tower, Tel Aviv 6328001</w:t>
      </w:r>
    </w:p>
    <w:p>
      <w:pPr>
        <w:pStyle w:val="BodyText"/>
      </w:pPr>
      <w:r>
        <w:t xml:space="preserve">Israel</w:t>
      </w:r>
    </w:p>
    <w:p>
      <w:pPr>
        <w:pStyle w:val="BodyText"/>
      </w:pPr>
      <w:r>
        <w:rPr>
          <w:bCs/>
          <w:b/>
        </w:rPr>
        <w:t xml:space="preserve">VAT Number:</w:t>
      </w:r>
      <w:r>
        <w:t xml:space="preserve"> </w:t>
      </w:r>
      <w:r>
        <w:t xml:space="preserve">51-987-654-3</w:t>
      </w:r>
    </w:p>
    <w:p>
      <w:pPr>
        <w:pStyle w:val="BodyText"/>
      </w:pPr>
      <w:r>
        <w:rPr>
          <w:bCs/>
          <w:b/>
        </w:rPr>
        <w:t xml:space="preserve">Phone:</w:t>
      </w:r>
      <w:r>
        <w:t xml:space="preserve"> </w:t>
      </w:r>
      <w:r>
        <w:t xml:space="preserve">+972-3-518-2200</w:t>
      </w:r>
    </w:p>
    <w:p>
      <w:pPr>
        <w:pStyle w:val="BodyText"/>
      </w:pPr>
      <w:r>
        <w:rPr>
          <w:bCs/>
          <w:b/>
        </w:rPr>
        <w:t xml:space="preserve">Email:</w:t>
      </w:r>
      <w:r>
        <w:t xml:space="preserve"> </w:t>
      </w:r>
      <w:r>
        <w:t xml:space="preserve">s.levi@medtech-il.com</w:t>
      </w:r>
    </w:p>
    <w:bookmarkEnd w:id="21"/>
    <w:p>
      <w:pPr>
        <w:pStyle w:val="BodyText"/>
      </w:pPr>
      <w:r>
        <w:rPr>
          <w:bCs/>
          <w:b/>
        </w:rPr>
        <w:t xml:space="preserve">Subject:</w:t>
      </w:r>
      <w:r>
        <w:t xml:space="preserve"> </w:t>
      </w:r>
      <w:r>
        <w:t xml:space="preserve">Invoice for Academic Research Consultation, Policy Advisory, and Expert Testimony Services Rendered by Professor Daniel A. Rosenbaum in Tel Aviv, Israel</w:t>
      </w:r>
    </w:p>
    <w:p>
      <w:pPr>
        <w:pStyle w:val="BodyText"/>
      </w:pPr>
      <w:r>
        <w:rPr>
          <w:bCs/>
          <w:b/>
        </w:rPr>
        <w:t xml:space="preserve">Contract Reference:</w:t>
      </w:r>
      <w:r>
        <w:t xml:space="preserve"> </w:t>
      </w:r>
      <w:r>
        <w:t xml:space="preserve">CTR-2025-MTI-012 (Signed 01 March 2025)</w:t>
      </w:r>
    </w:p>
    <w:p>
      <w:pPr>
        <w:pStyle w:val="BodyText"/>
      </w:pPr>
      <w:r>
        <w:rPr>
          <w:bCs/>
          <w:b/>
        </w:rPr>
        <w:t xml:space="preserve">Scope of Engagement:</w:t>
      </w:r>
      <w:r>
        <w:t xml:space="preserve"> </w:t>
      </w:r>
      <w:r>
        <w:t xml:space="preserve">Comprehensive economic impact assessment and regulatory policy advisory for MedTech Innovations Ltd. regarding the expansion of their medical device portfolio into the Israeli and broader Middle Eastern healthcare markets.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Date(s) Performed</w:t>
            </w:r>
          </w:p>
        </w:tc>
        <w:tc>
          <w:tcPr/>
          <w:p>
            <w:pPr>
              <w:pStyle w:val="Compact"/>
              <w:jc w:val="left"/>
            </w:pPr>
            <w:r>
              <w:t xml:space="preserve">Hours</w:t>
            </w:r>
          </w:p>
        </w:tc>
        <w:tc>
          <w:tcPr/>
          <w:p>
            <w:pPr>
              <w:pStyle w:val="Compact"/>
              <w:jc w:val="left"/>
            </w:pPr>
            <w:r>
              <w:t xml:space="preserve">Rate (ILS/hr)</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Economic Impact Analysis &amp; Market Feasibility Study</w:t>
            </w:r>
            <w:r>
              <w:t xml:space="preserve"> </w:t>
            </w:r>
            <w:r>
              <w:t xml:space="preserve">Professor Rosenbaum conducted a comprehensive economic impact assessment of MedTech Innovations' proposed expansion into the Tel Aviv metropolitan healthcare sector. This included quantitative modeling of market entry scenarios, analysis of Israeli National Health Insurance (Bituach Leumi) reimbursement frameworks, and competitive landscape evaluation across the Tel Aviv–Haifa–Jerusalem economic corridor. The Professor delivered a 45-page analytical report with projections through 2030.</w:t>
            </w:r>
          </w:p>
        </w:tc>
        <w:tc>
          <w:tcPr/>
          <w:p>
            <w:pPr>
              <w:pStyle w:val="Compact"/>
              <w:jc w:val="left"/>
            </w:pPr>
            <w:r>
              <w:t xml:space="preserve">02–14 Mar 2025</w:t>
            </w:r>
          </w:p>
        </w:tc>
        <w:tc>
          <w:tcPr/>
          <w:p>
            <w:pPr>
              <w:pStyle w:val="Compact"/>
              <w:jc w:val="left"/>
            </w:pPr>
            <w:r>
              <w:t xml:space="preserve">48</w:t>
            </w:r>
          </w:p>
        </w:tc>
        <w:tc>
          <w:tcPr/>
          <w:p>
            <w:pPr>
              <w:pStyle w:val="Compact"/>
              <w:jc w:val="left"/>
            </w:pPr>
            <w:r>
              <w:t xml:space="preserve">₪1,200</w:t>
            </w:r>
          </w:p>
        </w:tc>
        <w:tc>
          <w:tcPr/>
          <w:p>
            <w:pPr>
              <w:pStyle w:val="Compact"/>
              <w:jc w:val="left"/>
            </w:pPr>
            <w:r>
              <w:t xml:space="preserve">₪57,600.00</w:t>
            </w:r>
          </w:p>
        </w:tc>
      </w:tr>
      <w:tr>
        <w:tc>
          <w:tcPr/>
          <w:p>
            <w:pPr>
              <w:pStyle w:val="Compact"/>
              <w:jc w:val="left"/>
            </w:pPr>
            <w:r>
              <w:t xml:space="preserve">2</w:t>
            </w:r>
          </w:p>
        </w:tc>
        <w:tc>
          <w:tcPr/>
          <w:p>
            <w:pPr>
              <w:pStyle w:val="Compact"/>
              <w:jc w:val="left"/>
            </w:pPr>
            <w:r>
              <w:rPr>
                <w:bCs/>
                <w:b/>
              </w:rPr>
              <w:t xml:space="preserve">Regulatory Policy Advisory &amp; Government Liaison Consultation</w:t>
            </w:r>
            <w:r>
              <w:t xml:space="preserve"> </w:t>
            </w:r>
            <w:r>
              <w:t xml:space="preserve">The Professor provided expert advisory services to MedTech Innovations' legal and regulatory teams regarding compliance with Israeli Ministry of Health device registration protocols, the Israeli Standards Institute (SII) certification requirements, and the upcoming 2025 amendments to the Medical Devices Regulation Law. This included three in-person consultation sessions held at the University of Tel Aviv campus and two virtual briefing sessions with the client's compliance officers in Tel Aviv.</w:t>
            </w:r>
          </w:p>
        </w:tc>
        <w:tc>
          <w:tcPr/>
          <w:p>
            <w:pPr>
              <w:pStyle w:val="Compact"/>
              <w:jc w:val="left"/>
            </w:pPr>
            <w:r>
              <w:t xml:space="preserve">18 Mar – 05 Apr 2025</w:t>
            </w:r>
          </w:p>
        </w:tc>
        <w:tc>
          <w:tcPr/>
          <w:p>
            <w:pPr>
              <w:pStyle w:val="Compact"/>
              <w:jc w:val="left"/>
            </w:pPr>
            <w:r>
              <w:t xml:space="preserve">32</w:t>
            </w:r>
          </w:p>
        </w:tc>
        <w:tc>
          <w:tcPr/>
          <w:p>
            <w:pPr>
              <w:pStyle w:val="Compact"/>
              <w:jc w:val="left"/>
            </w:pPr>
            <w:r>
              <w:t xml:space="preserve">₪1,200</w:t>
            </w:r>
          </w:p>
        </w:tc>
        <w:tc>
          <w:tcPr/>
          <w:p>
            <w:pPr>
              <w:pStyle w:val="Compact"/>
              <w:jc w:val="left"/>
            </w:pPr>
            <w:r>
              <w:t xml:space="preserve">₪38,400.00</w:t>
            </w:r>
          </w:p>
        </w:tc>
      </w:tr>
      <w:tr>
        <w:tc>
          <w:tcPr/>
          <w:p>
            <w:pPr>
              <w:pStyle w:val="Compact"/>
              <w:jc w:val="left"/>
            </w:pPr>
            <w:r>
              <w:t xml:space="preserve">3</w:t>
            </w:r>
          </w:p>
        </w:tc>
        <w:tc>
          <w:tcPr/>
          <w:p>
            <w:pPr>
              <w:pStyle w:val="Compact"/>
              <w:jc w:val="left"/>
            </w:pPr>
            <w:r>
              <w:rPr>
                <w:bCs/>
                <w:b/>
              </w:rPr>
              <w:t xml:space="preserve">Expert Testimony &amp; Academic Panel Participation</w:t>
            </w:r>
            <w:r>
              <w:t xml:space="preserve"> </w:t>
            </w:r>
            <w:r>
              <w:t xml:space="preserve">Professor Rosenbaum served as the lead expert witness and keynote panelist at the Tel Aviv International Healthcare Innovation Summit held at the Tel Aviv Convention Center on 22 April 2025. The Professor delivered a 40-minute keynote address on "Economic Sustainability of Advanced Medical Technologies in the Israeli Healthcare Ecosystem" and participated in a moderated Q&amp;A session with industry stakeholders, government representatives, and academic peers. A written expert opinion letter was also prepared for the client's regulatory submission file.</w:t>
            </w:r>
          </w:p>
        </w:tc>
        <w:tc>
          <w:tcPr/>
          <w:p>
            <w:pPr>
              <w:pStyle w:val="Compact"/>
              <w:jc w:val="left"/>
            </w:pPr>
            <w:r>
              <w:t xml:space="preserve">22 Apr 2025</w:t>
            </w:r>
          </w:p>
        </w:tc>
        <w:tc>
          <w:tcPr/>
          <w:p>
            <w:pPr>
              <w:pStyle w:val="Compact"/>
              <w:jc w:val="left"/>
            </w:pPr>
            <w:r>
              <w:t xml:space="preserve">12</w:t>
            </w:r>
          </w:p>
        </w:tc>
        <w:tc>
          <w:tcPr/>
          <w:p>
            <w:pPr>
              <w:pStyle w:val="Compact"/>
              <w:jc w:val="left"/>
            </w:pPr>
            <w:r>
              <w:t xml:space="preserve">₪1,500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Academic Research Collaboration &amp; Data Validation</w:t>
            </w:r>
            <w:r>
              <w:t xml:space="preserve"> </w:t>
            </w:r>
            <w:r>
              <w:t xml:space="preserve">The Professor coordinated a joint research initiative between his laboratory at the University of Tel Aviv and MedTech Innovations' R&amp;D division. This involved validating clinical trial data collected at Tel Aviv Sourasky Medical Center (Ichilov Hospital), peer-reviewing three internal white papers, and co-authoring a preliminary research abstract for submission to the Israeli Journal of Health Economics. The Professor also supervised two graduate research assistants assigned to the project during the May 2025 academic term.</w:t>
            </w:r>
          </w:p>
        </w:tc>
        <w:tc>
          <w:tcPr/>
          <w:p>
            <w:pPr>
              <w:pStyle w:val="Compact"/>
              <w:jc w:val="left"/>
            </w:pPr>
            <w:r>
              <w:t xml:space="preserve">08 May – 09 Jun 2025</w:t>
            </w:r>
          </w:p>
        </w:tc>
        <w:tc>
          <w:tcPr/>
          <w:p>
            <w:pPr>
              <w:pStyle w:val="Compact"/>
              <w:jc w:val="left"/>
            </w:pPr>
            <w:r>
              <w:t xml:space="preserve">40</w:t>
            </w:r>
          </w:p>
        </w:tc>
        <w:tc>
          <w:tcPr/>
          <w:p>
            <w:pPr>
              <w:pStyle w:val="Compact"/>
              <w:jc w:val="left"/>
            </w:pPr>
            <w:r>
              <w:t xml:space="preserve">₪1,200</w:t>
            </w:r>
          </w:p>
        </w:tc>
        <w:tc>
          <w:tcPr/>
          <w:p>
            <w:pPr>
              <w:pStyle w:val="Compact"/>
              <w:jc w:val="left"/>
            </w:pPr>
            <w:r>
              <w:t xml:space="preserve">₪48,000.00</w:t>
            </w:r>
          </w:p>
        </w:tc>
      </w:tr>
      <w:tr>
        <w:tc>
          <w:tcPr/>
          <w:p>
            <w:pPr>
              <w:pStyle w:val="Compact"/>
              <w:jc w:val="left"/>
            </w:pPr>
            <w:r>
              <w:t xml:space="preserve">5</w:t>
            </w:r>
          </w:p>
        </w:tc>
        <w:tc>
          <w:tcPr/>
          <w:p>
            <w:pPr>
              <w:pStyle w:val="Compact"/>
              <w:jc w:val="left"/>
            </w:pPr>
            <w:r>
              <w:rPr>
                <w:bCs/>
                <w:b/>
              </w:rPr>
              <w:t xml:space="preserve">Final Report Compilation, Presentation &amp; Follow-Up Advisory</w:t>
            </w:r>
            <w:r>
              <w:t xml:space="preserve"> </w:t>
            </w:r>
            <w:r>
              <w:t xml:space="preserve">The Professor compiled all deliverables into a unified final report, presented findings to MedTech Innovations' Board of Directors in a private session at their Tel Aviv headquarters on 10 June 2025, and provided a 30-day post-presentation advisory window for follow-up questions and clarifications. This included a 20-page executive summary, full data appendices, and a strategic roadmap document tailored to the Israeli market context.</w:t>
            </w:r>
          </w:p>
        </w:tc>
        <w:tc>
          <w:tcPr/>
          <w:p>
            <w:pPr>
              <w:pStyle w:val="Compact"/>
              <w:jc w:val="left"/>
            </w:pPr>
            <w:r>
              <w:t xml:space="preserve">10–14 Jun 2025</w:t>
            </w:r>
          </w:p>
        </w:tc>
        <w:tc>
          <w:tcPr/>
          <w:p>
            <w:pPr>
              <w:pStyle w:val="Compact"/>
              <w:jc w:val="left"/>
            </w:pPr>
            <w:r>
              <w:t xml:space="preserve">16</w:t>
            </w:r>
          </w:p>
        </w:tc>
        <w:tc>
          <w:tcPr/>
          <w:p>
            <w:pPr>
              <w:pStyle w:val="Compact"/>
              <w:jc w:val="left"/>
            </w:pPr>
            <w:r>
              <w:t xml:space="preserve">₪1,200</w:t>
            </w:r>
          </w:p>
        </w:tc>
        <w:tc>
          <w:tcPr/>
          <w:p>
            <w:pPr>
              <w:pStyle w:val="Compact"/>
              <w:jc w:val="left"/>
            </w:pPr>
            <w:r>
              <w:t xml:space="preserve">₪19,200.00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₪181,200.00</w:t>
            </w:r>
          </w:p>
        </w:tc>
      </w:tr>
      <w:tr>
        <w:tc>
          <w:tcPr/>
          <w:p>
            <w:pPr>
              <w:pStyle w:val="Compact"/>
              <w:jc w:val="left"/>
            </w:pPr>
            <w:r>
              <w:t xml:space="preserve">VAT @ 18% (Israel)</w:t>
            </w:r>
          </w:p>
        </w:tc>
        <w:tc>
          <w:tcPr/>
          <w:p>
            <w:pPr>
              <w:pStyle w:val="Compact"/>
              <w:jc w:val="right"/>
            </w:pPr>
            <w:r>
              <w:t xml:space="preserve">₪32,616.00</w:t>
            </w:r>
          </w:p>
        </w:tc>
      </w:tr>
      <w:tr>
        <w:tc>
          <w:tcPr/>
          <w:p>
            <w:pPr>
              <w:pStyle w:val="Compact"/>
              <w:jc w:val="left"/>
            </w:pPr>
            <w:r>
              <w:t xml:space="preserve">Grand Total Due</w:t>
            </w:r>
          </w:p>
        </w:tc>
        <w:tc>
          <w:tcPr/>
          <w:p>
            <w:pPr>
              <w:pStyle w:val="Compact"/>
              <w:jc w:val="right"/>
            </w:pPr>
            <w:r>
              <w:t xml:space="preserve">₪213,816.00</w:t>
            </w:r>
          </w:p>
        </w:tc>
      </w:tr>
    </w:tbl>
    <w:p>
      <w:pPr>
        <w:pStyle w:val="BodyText"/>
      </w:pPr>
      <w:r>
        <w:t xml:space="preserve">All amounts are denominated in Israeli New Shekels (ILS). VAT is applied in accordance with the Israeli Value Added Tax Law, 5711-1975, as amended. This invoice is issued in compliance with the Israeli Tax Authority (Mishebet HaMas) invoicing regulations.</w:t>
      </w:r>
    </w:p>
    <w:bookmarkStart w:id="22" w:name="payment-instructions-notes"/>
    <w:p>
      <w:pPr>
        <w:pStyle w:val="Heading3"/>
      </w:pPr>
      <w:r>
        <w:t xml:space="preserve">Payment Instructions &amp; Notes</w:t>
      </w:r>
    </w:p>
    <w:p>
      <w:pPr>
        <w:pStyle w:val="FirstParagraph"/>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Prof. Daniel A. Rosenbaum – Academic Consulting</w:t>
      </w:r>
    </w:p>
    <w:p>
      <w:pPr>
        <w:pStyle w:val="BodyText"/>
      </w:pPr>
      <w:r>
        <w:rPr>
          <w:bCs/>
          <w:b/>
        </w:rPr>
        <w:t xml:space="preserve">Account Number:</w:t>
      </w:r>
      <w:r>
        <w:t xml:space="preserve"> </w:t>
      </w:r>
      <w:r>
        <w:t xml:space="preserve">001-123456-7</w:t>
      </w:r>
    </w:p>
    <w:p>
      <w:pPr>
        <w:pStyle w:val="BodyText"/>
      </w:pPr>
      <w:r>
        <w:rPr>
          <w:bCs/>
          <w:b/>
        </w:rPr>
        <w:t xml:space="preserve">IBAN:</w:t>
      </w:r>
      <w:r>
        <w:t xml:space="preserve"> </w:t>
      </w:r>
      <w:r>
        <w:t xml:space="preserve">IL16 0100 0000 0000 1234 567</w:t>
      </w:r>
    </w:p>
    <w:p>
      <w:pPr>
        <w:pStyle w:val="BodyText"/>
      </w:pPr>
      <w:r>
        <w:rPr>
          <w:bCs/>
          <w:b/>
        </w:rPr>
        <w:t xml:space="preserve">SWIFT/BIC:</w:t>
      </w:r>
      <w:r>
        <w:t xml:space="preserve"> </w:t>
      </w:r>
      <w:r>
        <w:t xml:space="preserve">POBAIL2A</w:t>
      </w:r>
    </w:p>
    <w:p>
      <w:pPr>
        <w:pStyle w:val="BodyText"/>
      </w:pPr>
      <w:r>
        <w:rPr>
          <w:bCs/>
          <w:b/>
        </w:rPr>
        <w:t xml:space="preserve">Reference:</w:t>
      </w:r>
      <w:r>
        <w:t xml:space="preserve"> </w:t>
      </w:r>
      <w:r>
        <w:t xml:space="preserve">Please cite Invoice No. TLV-2025-0487 in all payment communications.</w:t>
      </w:r>
    </w:p>
    <w:p>
      <w:pPr>
        <w:pStyle w:val="BodyText"/>
      </w:pPr>
      <w:r>
        <w:rPr>
          <w:bCs/>
          <w:b/>
        </w:rPr>
        <w:t xml:space="preserve">Important:</w:t>
      </w:r>
      <w:r>
        <w:t xml:space="preserve"> </w:t>
      </w:r>
      <w:r>
        <w:t xml:space="preserve">This invoice is issued by Professor Daniel A. Rosenbaum in his capacity as an independent academic consultant operating from Tel Aviv, Israel. All services were performed within the jurisdiction of the State of Israel. Payment is due within thirty (30) calendar days from the date of issue. Late payments shall accrue interest at the rate prescribed by the Israeli Late Payment Law, 5761-2001. This invoice constitutes a valid tax document under Israeli law and may be used for the client's corporate tax filing with the Israeli Tax Authority.</w:t>
      </w:r>
    </w:p>
    <w:p>
      <w:pPr>
        <w:pStyle w:val="BodyText"/>
      </w:pPr>
      <w:r>
        <w:rPr>
          <w:bCs/>
          <w:b/>
        </w:rPr>
        <w:t xml:space="preserve">Dispute Resolution:</w:t>
      </w:r>
      <w:r>
        <w:t xml:space="preserve"> </w:t>
      </w:r>
      <w:r>
        <w:t xml:space="preserve">Any disputes arising from this invoice or the underlying services shall be resolved in accordance with the laws of the State of Israel, with jurisdiction vested in the Tel Aviv District Court.</w:t>
      </w:r>
    </w:p>
    <w:bookmarkEnd w:id="22"/>
    <w:p>
      <w:pPr>
        <w:pStyle w:val="BodyText"/>
      </w:pPr>
      <w:r>
        <w:rPr>
          <w:bCs/>
          <w:b/>
        </w:rPr>
        <w:t xml:space="preserve">Professor Daniel A. Rosenbaum, Ph.D.</w:t>
      </w:r>
      <w:r>
        <w:t xml:space="preserve"> </w:t>
      </w:r>
      <w:r>
        <w:t xml:space="preserve">| Academic &amp; Professional Consulting | Tel Aviv, Israel</w:t>
      </w:r>
    </w:p>
    <w:p>
      <w:pPr>
        <w:pStyle w:val="BodyText"/>
      </w:pPr>
      <w:r>
        <w:t xml:space="preserve">69 Tel Aviv University Road, Ramat Aviv, Tel Aviv 6997801, Israel | VAT: 51-234-567-8</w:t>
      </w:r>
    </w:p>
    <w:p>
      <w:pPr>
        <w:pStyle w:val="BodyText"/>
      </w:pPr>
      <w:r>
        <w:t xml:space="preserve">This Invoice was generated electronically and is valid without a physical signature in accordance with the Israeli Electronic Signature Law, 5761-2001.</w:t>
      </w:r>
    </w:p>
    <w:p>
      <w:pPr>
        <w:pStyle w:val="BodyText"/>
      </w:pPr>
      <w:r>
        <w:t xml:space="preserve">Thank you for engaging the expertise of a Tel Aviv-based academic professional. We look forward to continuing our collaboration in the service of advancing healthcare innovation in Israel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Consulting Services - Tel Aviv, Israel</dc:title>
  <dc:creator/>
  <dc:language>en</dc:language>
  <cp:keywords/>
  <dcterms:created xsi:type="dcterms:W3CDTF">2026-10-10T04:32:56Z</dcterms:created>
  <dcterms:modified xsi:type="dcterms:W3CDTF">2026-10-10T04:32:56Z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