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invoice"/>
    <w:p>
      <w:pPr>
        <w:pStyle w:val="Heading1"/>
      </w:pPr>
      <w:r>
        <w:t xml:space="preserve">INVOICE</w:t>
      </w:r>
    </w:p>
    <w:p>
      <w:pPr>
        <w:pStyle w:val="FirstParagraph"/>
      </w:pPr>
      <w:r>
        <w:t xml:space="preserve">Academic &amp; Research Consulting Services</w:t>
      </w:r>
    </w:p>
    <w:p>
      <w:pPr>
        <w:pStyle w:val="BodyText"/>
      </w:pPr>
      <w:r>
        <w:t xml:space="preserve">JAPAN OSAKA</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INV-2025-OSK-0487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bookmarkEnd w:id="21"/>
    <w:bookmarkStart w:id="22" w:name="from-service-provider"/>
    <w:p>
      <w:pPr>
        <w:pStyle w:val="Heading4"/>
      </w:pPr>
      <w:r>
        <w:t xml:space="preserve">From (Service Provider)</w:t>
      </w:r>
    </w:p>
    <w:p>
      <w:pPr>
        <w:pStyle w:val="FirstParagraph"/>
      </w:pPr>
      <w:r>
        <w:rPr>
          <w:bCs/>
          <w:b/>
        </w:rPr>
        <w:t xml:space="preserve">Professor Kenji Tanaka, Ph.D.</w:t>
      </w:r>
    </w:p>
    <w:p>
      <w:pPr>
        <w:pStyle w:val="BodyText"/>
      </w:pPr>
      <w:r>
        <w:t xml:space="preserve">Department of Applied Sciences</w:t>
      </w:r>
    </w:p>
    <w:p>
      <w:pPr>
        <w:pStyle w:val="BodyText"/>
      </w:pPr>
      <w:r>
        <w:t xml:space="preserve">Osaka University Research Institute</w:t>
      </w:r>
    </w:p>
    <w:p>
      <w:pPr>
        <w:pStyle w:val="BodyText"/>
      </w:pPr>
      <w:r>
        <w:t xml:space="preserve">1-1 Machikaneyama, Toyonaka-shi</w:t>
      </w:r>
    </w:p>
    <w:p>
      <w:pPr>
        <w:pStyle w:val="BodyText"/>
      </w:pPr>
      <w:r>
        <w:t xml:space="preserve">Osaka 560-0043, Japan Osaka</w:t>
      </w:r>
    </w:p>
    <w:p>
      <w:pPr>
        <w:pStyle w:val="BodyText"/>
      </w:pPr>
      <w:r>
        <w:t xml:space="preserve">Email: k.tanaka@osaka-ri.ac.jp</w:t>
      </w:r>
    </w:p>
    <w:p>
      <w:pPr>
        <w:pStyle w:val="BodyText"/>
      </w:pPr>
      <w:r>
        <w:t xml:space="preserve">Phone: +81-6-6850-XXXX</w:t>
      </w:r>
    </w:p>
    <w:p>
      <w:pPr>
        <w:pStyle w:val="BodyText"/>
      </w:pPr>
      <w:r>
        <w:t xml:space="preserve">Tax ID: 12-3456-7890</w:t>
      </w:r>
    </w:p>
    <w:bookmarkEnd w:id="22"/>
    <w:bookmarkStart w:id="23" w:name="bill-to-client"/>
    <w:p>
      <w:pPr>
        <w:pStyle w:val="Heading4"/>
      </w:pPr>
      <w:r>
        <w:t xml:space="preserve">Bill To (Client)</w:t>
      </w:r>
    </w:p>
    <w:p>
      <w:pPr>
        <w:pStyle w:val="FirstParagraph"/>
      </w:pPr>
      <w:r>
        <w:rPr>
          <w:bCs/>
          <w:b/>
        </w:rPr>
        <w:t xml:space="preserve">Osaka Metropolitan Innovation Council</w:t>
      </w:r>
    </w:p>
    <w:p>
      <w:pPr>
        <w:pStyle w:val="BodyText"/>
      </w:pPr>
      <w:r>
        <w:t xml:space="preserve">Attn: Dr. Yuki Nakamura, Director</w:t>
      </w:r>
    </w:p>
    <w:p>
      <w:pPr>
        <w:pStyle w:val="BodyText"/>
      </w:pPr>
      <w:r>
        <w:t xml:space="preserve">2-1-1 Nakanoshima, Kita-ku</w:t>
      </w:r>
    </w:p>
    <w:p>
      <w:pPr>
        <w:pStyle w:val="BodyText"/>
      </w:pPr>
      <w:r>
        <w:t xml:space="preserve">Osaka 530-0009, Japan Osaka</w:t>
      </w:r>
    </w:p>
    <w:p>
      <w:pPr>
        <w:pStyle w:val="BodyText"/>
      </w:pPr>
      <w:r>
        <w:t xml:space="preserve">Email: y.nakamura@omi-council.jp</w:t>
      </w:r>
    </w:p>
    <w:p>
      <w:pPr>
        <w:pStyle w:val="BodyText"/>
      </w:pPr>
      <w:r>
        <w:t xml:space="preserve">Phone: +81-6-6202-XXXX</w:t>
      </w:r>
    </w:p>
    <w:p>
      <w:pPr>
        <w:pStyle w:val="BodyText"/>
      </w:pPr>
      <w:r>
        <w:t xml:space="preserve">Corporate Tax ID: 89-0123-4567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Professor-led strategic research consultation on sustainable urban development frameworks for the Japan Osaka metropolitan area. Includes comprehensive literature review, data analysis, and preliminary findings presentation to the Innovation Council board.</w:t>
            </w:r>
          </w:p>
        </w:tc>
        <w:tc>
          <w:tcPr/>
          <w:p>
            <w:pPr>
              <w:pStyle w:val="Compact"/>
              <w:jc w:val="left"/>
            </w:pPr>
            <w:r>
              <w:t xml:space="preserve">Apr 02, 2025</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2</w:t>
            </w:r>
          </w:p>
        </w:tc>
        <w:tc>
          <w:tcPr/>
          <w:p>
            <w:pPr>
              <w:pStyle w:val="Compact"/>
              <w:jc w:val="left"/>
            </w:pPr>
            <w:r>
              <w:t xml:space="preserve">Professor Tanaka conducted a two-day intensive workshop at the Osaka International Convention Center, training 45 municipal engineers on advanced computational modeling techniques for infrastructure resilience in the Japan Osaka region.</w:t>
            </w:r>
          </w:p>
        </w:tc>
        <w:tc>
          <w:tcPr/>
          <w:p>
            <w:pPr>
              <w:pStyle w:val="Compact"/>
              <w:jc w:val="left"/>
            </w:pPr>
            <w:r>
              <w:t xml:space="preserve">Apr 18–19, 2025</w:t>
            </w:r>
          </w:p>
        </w:tc>
        <w:tc>
          <w:tcPr/>
          <w:p>
            <w:pPr>
              <w:pStyle w:val="Compact"/>
              <w:jc w:val="left"/>
            </w:pPr>
            <w:r>
              <w:t xml:space="preserve">14</w:t>
            </w:r>
          </w:p>
        </w:tc>
        <w:tc>
          <w:tcPr/>
          <w:p>
            <w:pPr>
              <w:pStyle w:val="Compact"/>
              <w:jc w:val="left"/>
            </w:pPr>
            <w:r>
              <w:t xml:space="preserve">30,000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Preparation and delivery of a peer-reviewed white paper titled "Future-Proofing Japan Osaka: A Professor's Perspective on Multi-Hazard Risk Mitigation." The document was submitted to the Council's internal review committee and published in the Osaka Academic Quarterly.</w:t>
            </w:r>
          </w:p>
        </w:tc>
        <w:tc>
          <w:tcPr/>
          <w:p>
            <w:pPr>
              <w:pStyle w:val="Compact"/>
              <w:jc w:val="left"/>
            </w:pPr>
            <w:r>
              <w:t xml:space="preserve">May 05, 2025</w:t>
            </w:r>
          </w:p>
        </w:tc>
        <w:tc>
          <w:tcPr/>
          <w:p>
            <w:pPr>
              <w:pStyle w:val="Compact"/>
              <w:jc w:val="left"/>
            </w:pPr>
            <w:r>
              <w:t xml:space="preserve">40</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4</w:t>
            </w:r>
          </w:p>
        </w:tc>
        <w:tc>
          <w:tcPr/>
          <w:p>
            <w:pPr>
              <w:pStyle w:val="Compact"/>
              <w:jc w:val="left"/>
            </w:pPr>
            <w:r>
              <w:t xml:space="preserve">Professor advisory retainer for ongoing quarterly strategic guidance. This Invoice covers the Q2 2025 period, including three scheduled video consultations, email correspondence, and a written progress report delivered to the Japan Osaka Innovation Council leadership team.</w:t>
            </w:r>
          </w:p>
        </w:tc>
        <w:tc>
          <w:tcPr/>
          <w:p>
            <w:pPr>
              <w:pStyle w:val="Compact"/>
              <w:jc w:val="left"/>
            </w:pPr>
            <w:r>
              <w:t xml:space="preserve">May 01 – Jun 15, 2025</w:t>
            </w:r>
          </w:p>
        </w:tc>
        <w:tc>
          <w:tcPr/>
          <w:p>
            <w:pPr>
              <w:pStyle w:val="Compact"/>
              <w:jc w:val="left"/>
            </w:pPr>
            <w:r>
              <w:t xml:space="preserve">24</w:t>
            </w:r>
          </w:p>
        </w:tc>
        <w:tc>
          <w:tcPr/>
          <w:p>
            <w:pPr>
              <w:pStyle w:val="Compact"/>
              <w:jc w:val="left"/>
            </w:pPr>
            <w:r>
              <w:t xml:space="preserve">28,000</w:t>
            </w:r>
          </w:p>
        </w:tc>
        <w:tc>
          <w:tcPr/>
          <w:p>
            <w:pPr>
              <w:pStyle w:val="Compact"/>
              <w:jc w:val="left"/>
            </w:pPr>
            <w:r>
              <w:t xml:space="preserve">672,000</w:t>
            </w:r>
          </w:p>
        </w:tc>
      </w:tr>
      <w:tr>
        <w:tc>
          <w:tcPr/>
          <w:p>
            <w:pPr>
              <w:pStyle w:val="Compact"/>
              <w:jc w:val="left"/>
            </w:pPr>
            <w:r>
              <w:t xml:space="preserve">5</w:t>
            </w:r>
          </w:p>
        </w:tc>
        <w:tc>
          <w:tcPr/>
          <w:p>
            <w:pPr>
              <w:pStyle w:val="Compact"/>
              <w:jc w:val="left"/>
            </w:pPr>
            <w:r>
              <w:t xml:space="preserve">Travel and accommodation expenses incurred by the Professor for on-site inspections at three research facilities in the Japan Osaka prefecture, including the Kansai Science Park and the Osaka Prefectural Institute of Technology. All travel was conducted in accordance with Council reimbursement policy.</w:t>
            </w:r>
          </w:p>
        </w:tc>
        <w:tc>
          <w:tcPr/>
          <w:p>
            <w:pPr>
              <w:pStyle w:val="Compact"/>
              <w:jc w:val="left"/>
            </w:pPr>
            <w:r>
              <w:t xml:space="preserve">Apr 20 – May 10,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Professor-led panel moderation at the "Japan Osaka Future Technologies Summit 2025," held at the Grand Osaka Hotel. The Professor served as keynote moderator for a four-hour session featuring twelve international speakers on climate adaptation strategies.</w:t>
            </w:r>
          </w:p>
        </w:tc>
        <w:tc>
          <w:tcPr/>
          <w:p>
            <w:pPr>
              <w:pStyle w:val="Compact"/>
              <w:jc w:val="left"/>
            </w:pPr>
            <w:r>
              <w:t xml:space="preserve">Jun 08, 2025</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2,837,000 JPY</w:t>
            </w:r>
          </w:p>
        </w:tc>
      </w:tr>
      <w:tr>
        <w:tc>
          <w:tcPr/>
          <w:p>
            <w:pPr>
              <w:pStyle w:val="Compact"/>
              <w:jc w:val="left"/>
            </w:pPr>
            <w:r>
              <w:t xml:space="preserve">Consumption Tax (10%)</w:t>
            </w:r>
          </w:p>
        </w:tc>
        <w:tc>
          <w:tcPr/>
          <w:p>
            <w:pPr>
              <w:pStyle w:val="Compact"/>
              <w:jc w:val="left"/>
            </w:pPr>
            <w:r>
              <w:t xml:space="preserve">283,700 JPY</w:t>
            </w:r>
          </w:p>
        </w:tc>
      </w:tr>
      <w:tr>
        <w:tc>
          <w:tcPr/>
          <w:p>
            <w:pPr>
              <w:pStyle w:val="Compact"/>
              <w:jc w:val="left"/>
            </w:pPr>
            <w:r>
              <w:t xml:space="preserve">Grand Total Due</w:t>
            </w:r>
          </w:p>
        </w:tc>
        <w:tc>
          <w:tcPr/>
          <w:p>
            <w:pPr>
              <w:pStyle w:val="Compact"/>
              <w:jc w:val="left"/>
            </w:pPr>
            <w:r>
              <w:t xml:space="preserve">3,120,700 JPY</w:t>
            </w:r>
          </w:p>
        </w:tc>
      </w:tr>
    </w:tbl>
    <w:bookmarkStart w:id="24" w:name="invoice-notes-terms"/>
    <w:p>
      <w:pPr>
        <w:pStyle w:val="Heading4"/>
      </w:pPr>
      <w:r>
        <w:t xml:space="preserve">Invoice Notes &amp; Terms</w:t>
      </w:r>
    </w:p>
    <w:p>
      <w:pPr>
        <w:pStyle w:val="FirstParagraph"/>
      </w:pPr>
      <w:r>
        <w:t xml:space="preserve">This Invoice is issued by Professor Kenji Tanaka, Ph.D., in his capacity as an independent academic consultant engaged by the Osaka Metropolitan Innovation Council. All services described herein were performed in the Japan Osaka metropolitan area and its surrounding prefectures during the period of April 2, 2025, through June 15, 2025.</w:t>
      </w:r>
    </w:p>
    <w:p>
      <w:pPr>
        <w:pStyle w:val="BodyText"/>
      </w:pPr>
      <w:r>
        <w:t xml:space="preserve">The Professor warrants that all research outputs, white papers, and workshop materials delivered under this engagement are original works and do not infringe upon any third-party intellectual property rights. The Council retains a non-exclusive license to reproduce and distribute the white paper for internal governmental use within Japan Osaka.</w:t>
      </w:r>
    </w:p>
    <w:p>
      <w:pPr>
        <w:pStyle w:val="BodyText"/>
      </w:pPr>
      <w:r>
        <w:t xml:space="preserve">Payment is due within thirty (30) calendar days of the Invoice issue date. Late payments shall accrue interest at a rate of 1.5% per month, in accordance with the Japan Osaka Municipal Procurement Regulations (2024 revision). Please reference Invoice number INV-2025-OSK-0487 on all correspondence and remittances.</w:t>
      </w:r>
    </w:p>
    <w:p>
      <w:pPr>
        <w:pStyle w:val="BodyText"/>
      </w:pPr>
      <w:r>
        <w:t xml:space="preserve">This Invoice is valid for one hundred eighty (180) days from the date of issue. After this period, the Professor reserves the right to reissue the document with updated tax calculations if applicable rates have changed under Japanese national or Osaka prefectural law.</w:t>
      </w:r>
    </w:p>
    <w:bookmarkEnd w:id="24"/>
    <w:bookmarkStart w:id="25" w:name="payment-instructions"/>
    <w:p>
      <w:pPr>
        <w:pStyle w:val="Heading4"/>
      </w:pPr>
      <w:r>
        <w:t xml:space="preserve">Payment Instructions</w:t>
      </w:r>
    </w:p>
    <w:p>
      <w:pPr>
        <w:pStyle w:val="FirstParagraph"/>
      </w:pPr>
      <w:r>
        <w:rPr>
          <w:bCs/>
          <w:b/>
        </w:rPr>
        <w:t xml:space="preserve">Bank Name:</w:t>
      </w:r>
      <w:r>
        <w:t xml:space="preserve"> </w:t>
      </w:r>
      <w:r>
        <w:t xml:space="preserve">Bank of Osaka, Main Branch</w:t>
      </w:r>
    </w:p>
    <w:p>
      <w:pPr>
        <w:pStyle w:val="BodyText"/>
      </w:pPr>
      <w:r>
        <w:rPr>
          <w:bCs/>
          <w:b/>
        </w:rPr>
        <w:t xml:space="preserve">Account Name:</w:t>
      </w:r>
      <w:r>
        <w:t xml:space="preserve"> </w:t>
      </w:r>
      <w:r>
        <w:t xml:space="preserve">Kenji Tanaka (Professor)</w:t>
      </w:r>
    </w:p>
    <w:p>
      <w:pPr>
        <w:pStyle w:val="BodyText"/>
      </w:pPr>
      <w:r>
        <w:rPr>
          <w:bCs/>
          <w:b/>
        </w:rPr>
        <w:t xml:space="preserve">Account Number:</w:t>
      </w:r>
      <w:r>
        <w:t xml:space="preserve"> </w:t>
      </w:r>
      <w:r>
        <w:t xml:space="preserve">000-12-345678</w:t>
      </w:r>
    </w:p>
    <w:p>
      <w:pPr>
        <w:pStyle w:val="BodyText"/>
      </w:pPr>
      <w:r>
        <w:rPr>
          <w:bCs/>
          <w:b/>
        </w:rPr>
        <w:t xml:space="preserve">SWIFT Code:</w:t>
      </w:r>
      <w:r>
        <w:t xml:space="preserve"> </w:t>
      </w:r>
      <w:r>
        <w:t xml:space="preserve">OSBKJPJT</w:t>
      </w:r>
    </w:p>
    <w:p>
      <w:pPr>
        <w:pStyle w:val="BodyText"/>
      </w:pPr>
      <w:r>
        <w:rPr>
          <w:bCs/>
          <w:b/>
        </w:rPr>
        <w:t xml:space="preserve">Reference:</w:t>
      </w:r>
      <w:r>
        <w:t xml:space="preserve"> </w:t>
      </w:r>
      <w:r>
        <w:t xml:space="preserve">INV-2025-OSK-0487 / Japan Osaka Innovation Council</w:t>
      </w:r>
    </w:p>
    <w:p>
      <w:pPr>
        <w:pStyle w:val="BodyText"/>
      </w:pPr>
      <w:r>
        <w:rPr>
          <w:bCs/>
          <w:b/>
        </w:rPr>
        <w:t xml:space="preserve">Accepted Methods:</w:t>
      </w:r>
      <w:r>
        <w:t xml:space="preserve"> </w:t>
      </w:r>
      <w:r>
        <w:t xml:space="preserve">Bank Transfer (domestic JPY), Credit Card (Visa, Mastercard, JCB)</w:t>
      </w:r>
    </w:p>
    <w:p>
      <w:pPr>
        <w:pStyle w:val="BodyText"/>
      </w:pPr>
      <w:r>
        <w:rPr>
          <w:bCs/>
          <w:b/>
        </w:rPr>
        <w:t xml:space="preserve">For Credit Card Payments:</w:t>
      </w:r>
      <w:r>
        <w:t xml:space="preserve"> </w:t>
      </w:r>
      <w:r>
        <w:t xml:space="preserve">Please contact the Professor's administrative office at +81-6-6850-XXXX to obtain a secure payment link. International card transactions may incur a 3% surcharge as mandated by Japan Osaka financial regulations.</w:t>
      </w:r>
    </w:p>
    <w:bookmarkEnd w:id="25"/>
    <w:p>
      <w:pPr>
        <w:pStyle w:val="BodyText"/>
      </w:pPr>
      <w:r>
        <w:t xml:space="preserve">This Invoice was generated electronically and is valid without a physical signature in accordance with the Japanese Electronic Documents and Electronic Signatures Act (Act No. 151 of 2000). The Professor's digital signature hash is recorded in the Council's procurement ledger under file reference OMI-2025-PROC-0487.</w:t>
      </w:r>
    </w:p>
    <w:p>
      <w:pPr>
        <w:pStyle w:val="BodyText"/>
      </w:pPr>
      <w:r>
        <w:t xml:space="preserve">© 2025 Professor Kenji Tanaka, Ph.D. | Osaka University Research Institute | Japan Osaka. All rights reserved. This document is the property of the issuing Professor and the receiving Council. Unauthorized reproduction or distribution is prohibited under Japanese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Japan Osaka</dc:title>
  <dc:creator/>
  <dc:language>en</dc:language>
  <cp:keywords/>
  <dcterms:created xsi:type="dcterms:W3CDTF">2026-10-10T02:33:39Z</dcterms:created>
  <dcterms:modified xsi:type="dcterms:W3CDTF">2026-10-10T02:33:39Z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